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9EA32" w14:textId="1F6BA4BE" w:rsidR="00013A9A" w:rsidRDefault="00EC7860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Příloha č. </w:t>
      </w:r>
      <w:r w:rsidR="0014795F">
        <w:rPr>
          <w:rFonts w:ascii="Verdana" w:hAnsi="Verdana"/>
          <w:b/>
          <w:color w:val="000000" w:themeColor="text1"/>
          <w:sz w:val="20"/>
          <w:szCs w:val="20"/>
        </w:rPr>
        <w:t>3 -</w:t>
      </w:r>
      <w:bookmarkStart w:id="0" w:name="_GoBack"/>
      <w:bookmarkEnd w:id="0"/>
      <w:r w:rsidR="004113ED">
        <w:rPr>
          <w:rFonts w:ascii="Verdana" w:hAnsi="Verdana"/>
          <w:b/>
          <w:color w:val="000000" w:themeColor="text1"/>
          <w:sz w:val="20"/>
          <w:szCs w:val="20"/>
        </w:rPr>
        <w:t xml:space="preserve"> Technická specifikace</w:t>
      </w:r>
    </w:p>
    <w:p w14:paraId="606A6A56" w14:textId="77777777" w:rsidR="00013A9A" w:rsidRDefault="00013A9A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6D7E4DD7" w14:textId="15449D6A" w:rsidR="00013A9A" w:rsidRDefault="00F74E51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Dodávka </w:t>
      </w:r>
      <w:r w:rsidR="00CC0564">
        <w:rPr>
          <w:rFonts w:ascii="Verdana" w:hAnsi="Verdana"/>
          <w:b/>
          <w:color w:val="000000" w:themeColor="text1"/>
          <w:sz w:val="20"/>
          <w:szCs w:val="20"/>
        </w:rPr>
        <w:t xml:space="preserve">Integrovaného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CFD </w:t>
      </w:r>
      <w:r w:rsidR="00CC0564">
        <w:rPr>
          <w:rFonts w:ascii="Verdana" w:hAnsi="Verdana"/>
          <w:b/>
          <w:color w:val="000000" w:themeColor="text1"/>
          <w:sz w:val="20"/>
          <w:szCs w:val="20"/>
        </w:rPr>
        <w:t xml:space="preserve">a FEA </w:t>
      </w:r>
      <w:r>
        <w:rPr>
          <w:rFonts w:ascii="Verdana" w:hAnsi="Verdana"/>
          <w:b/>
          <w:color w:val="000000" w:themeColor="text1"/>
          <w:sz w:val="20"/>
          <w:szCs w:val="20"/>
        </w:rPr>
        <w:t>software  - technická specifikace</w:t>
      </w:r>
    </w:p>
    <w:p w14:paraId="217D20D3" w14:textId="77777777" w:rsidR="00013A9A" w:rsidRDefault="00013A9A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47CE6C2A" w14:textId="212FA654" w:rsidR="00B96293" w:rsidRDefault="00B96293">
      <w:pPr>
        <w:rPr>
          <w:rFonts w:ascii="Verdana" w:hAnsi="Verdana"/>
          <w:color w:val="000000" w:themeColor="text1"/>
          <w:sz w:val="20"/>
          <w:szCs w:val="20"/>
        </w:rPr>
      </w:pPr>
    </w:p>
    <w:p w14:paraId="586111E6" w14:textId="0F7B65CF" w:rsidR="00013A9A" w:rsidRDefault="00F74E5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Tato technická specifikace určuje požadavky na dodávku </w:t>
      </w:r>
      <w:r w:rsidR="00B96293">
        <w:rPr>
          <w:rFonts w:ascii="Verdana" w:hAnsi="Verdana"/>
          <w:color w:val="000000" w:themeColor="text1"/>
          <w:sz w:val="20"/>
          <w:szCs w:val="20"/>
        </w:rPr>
        <w:t xml:space="preserve">trvalé komerční licence </w:t>
      </w:r>
      <w:r>
        <w:rPr>
          <w:rFonts w:ascii="Verdana" w:hAnsi="Verdana"/>
          <w:color w:val="000000" w:themeColor="text1"/>
          <w:sz w:val="20"/>
          <w:szCs w:val="20"/>
        </w:rPr>
        <w:t>výpočtového softwaru pro CFD simulace</w:t>
      </w:r>
      <w:r w:rsidR="00903569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včetně podpory na </w:t>
      </w:r>
      <w:r w:rsidR="00B90BEC">
        <w:rPr>
          <w:rFonts w:ascii="Verdana" w:hAnsi="Verdana"/>
          <w:color w:val="000000" w:themeColor="text1"/>
          <w:sz w:val="20"/>
          <w:szCs w:val="20"/>
        </w:rPr>
        <w:t>12</w:t>
      </w:r>
      <w:r>
        <w:rPr>
          <w:rFonts w:ascii="Verdana" w:hAnsi="Verdana"/>
          <w:color w:val="000000" w:themeColor="text1"/>
          <w:sz w:val="20"/>
          <w:szCs w:val="20"/>
        </w:rPr>
        <w:t xml:space="preserve"> měsíců. </w:t>
      </w:r>
      <w:r w:rsidR="00903569">
        <w:rPr>
          <w:rFonts w:ascii="Verdana" w:hAnsi="Verdana"/>
          <w:color w:val="000000" w:themeColor="text1"/>
          <w:sz w:val="20"/>
          <w:szCs w:val="20"/>
        </w:rPr>
        <w:t xml:space="preserve">Součástí dodávky budou tři </w:t>
      </w:r>
      <w:r w:rsidR="008F72DE">
        <w:rPr>
          <w:rFonts w:ascii="Verdana" w:hAnsi="Verdana"/>
          <w:color w:val="000000" w:themeColor="text1"/>
          <w:sz w:val="20"/>
          <w:szCs w:val="20"/>
        </w:rPr>
        <w:t xml:space="preserve">pětidenní </w:t>
      </w:r>
      <w:r w:rsidR="00903569">
        <w:rPr>
          <w:rFonts w:ascii="Verdana" w:hAnsi="Verdana"/>
          <w:color w:val="000000" w:themeColor="text1"/>
          <w:sz w:val="20"/>
          <w:szCs w:val="20"/>
        </w:rPr>
        <w:t>školení minimálně tří pracovníků zaměřené na pokročilé simulace PEM elektrolyzéru a PEM palivového článku včetně chemických reakcí a tepelného managmentu, vícefázové nestacionární proudění s pohybující se stěnou a školení zaměřené na využití optimalizace a parametrizace při CFD experimentu.</w:t>
      </w:r>
    </w:p>
    <w:p w14:paraId="1EF876D4" w14:textId="77777777" w:rsidR="00013A9A" w:rsidRDefault="00F74E5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Konkrétní požadované technické parametry uvádí následující tabulka:</w:t>
      </w:r>
    </w:p>
    <w:p w14:paraId="3CF3676D" w14:textId="77777777" w:rsidR="00013A9A" w:rsidRDefault="00F74E51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Technická specifikace</w:t>
      </w:r>
    </w:p>
    <w:p w14:paraId="60D39437" w14:textId="77777777" w:rsidR="00013A9A" w:rsidRDefault="00013A9A">
      <w:pPr>
        <w:rPr>
          <w:rFonts w:ascii="Verdana" w:hAnsi="Verdana" w:cstheme="minorBidi"/>
          <w:b/>
          <w:color w:val="000000" w:themeColor="text1"/>
          <w:sz w:val="20"/>
          <w:szCs w:val="20"/>
        </w:rPr>
      </w:pPr>
    </w:p>
    <w:tbl>
      <w:tblPr>
        <w:tblStyle w:val="Mkatabul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2268"/>
      </w:tblGrid>
      <w:tr w:rsidR="00790DA7" w14:paraId="383EE3A5" w14:textId="37E956FB" w:rsidTr="00790DA7">
        <w:tc>
          <w:tcPr>
            <w:tcW w:w="2268" w:type="dxa"/>
          </w:tcPr>
          <w:p w14:paraId="2FE9F718" w14:textId="77777777" w:rsidR="00790DA7" w:rsidRDefault="00790DA7">
            <w:pPr>
              <w:pStyle w:val="Odstavecseseznamem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Základní</w:t>
            </w:r>
            <w:r>
              <w:rPr>
                <w:b/>
                <w:sz w:val="24"/>
                <w:szCs w:val="24"/>
              </w:rPr>
              <w:t xml:space="preserve"> funkce a popis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3DB929E3" w14:textId="3A9661A6" w:rsidR="00790DA7" w:rsidRDefault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="00B86E6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Integrovaný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CFD </w:t>
            </w:r>
            <w:r w:rsidR="00B86E6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 FEA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řešič </w:t>
            </w:r>
            <w:r w:rsidR="00790DA7">
              <w:rPr>
                <w:rFonts w:ascii="Verdana" w:hAnsi="Verdana"/>
                <w:color w:val="000000" w:themeColor="text1"/>
                <w:sz w:val="20"/>
                <w:szCs w:val="20"/>
              </w:rPr>
              <w:t>pro akademické a studijní účely.</w:t>
            </w:r>
          </w:p>
          <w:p w14:paraId="2E0AFDBD" w14:textId="7272A0A8" w:rsidR="009B7B0C" w:rsidRDefault="009B7B0C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Plovoucí typ licence</w:t>
            </w:r>
          </w:p>
          <w:p w14:paraId="55A47D75" w14:textId="265477D5" w:rsidR="00790DA7" w:rsidRDefault="009B7B0C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Automatizované síťování</w:t>
            </w:r>
          </w:p>
          <w:p w14:paraId="69DF57F9" w14:textId="328A4F1C" w:rsidR="00790DA7" w:rsidRDefault="00790DA7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Paralelní síťování</w:t>
            </w:r>
          </w:p>
        </w:tc>
        <w:tc>
          <w:tcPr>
            <w:tcW w:w="2268" w:type="dxa"/>
          </w:tcPr>
          <w:p w14:paraId="0DBAB5A0" w14:textId="6639A085" w:rsidR="00790DA7" w:rsidRDefault="00790DA7" w:rsidP="00790DA7">
            <w:pPr>
              <w:ind w:left="598" w:hanging="56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ANO</w:t>
            </w:r>
          </w:p>
        </w:tc>
      </w:tr>
      <w:tr w:rsidR="00790DA7" w14:paraId="67CA1A11" w14:textId="4ED677D1" w:rsidTr="00790DA7">
        <w:tc>
          <w:tcPr>
            <w:tcW w:w="2268" w:type="dxa"/>
          </w:tcPr>
          <w:p w14:paraId="5FAFF1E7" w14:textId="77777777" w:rsidR="00790DA7" w:rsidRDefault="00790DA7">
            <w:pPr>
              <w:pStyle w:val="Odstavecseseznamem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CFD řešič pro:</w:t>
            </w:r>
          </w:p>
        </w:tc>
        <w:tc>
          <w:tcPr>
            <w:tcW w:w="4962" w:type="dxa"/>
          </w:tcPr>
          <w:p w14:paraId="7BE01743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Fluid dynamics</w:t>
            </w:r>
          </w:p>
          <w:p w14:paraId="5EE95834" w14:textId="21B655D5" w:rsidR="00790DA7" w:rsidRDefault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Multip</w:t>
            </w:r>
            <w:r w:rsidR="00790DA7">
              <w:rPr>
                <w:rFonts w:ascii="Verdana" w:hAnsi="Verdana"/>
                <w:color w:val="000000" w:themeColor="text1"/>
                <w:sz w:val="20"/>
                <w:szCs w:val="20"/>
              </w:rPr>
              <w:t>hase flows</w:t>
            </w:r>
          </w:p>
          <w:p w14:paraId="38E9AE43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Reacting flows</w:t>
            </w:r>
          </w:p>
          <w:p w14:paraId="77CF2557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Particle flows</w:t>
            </w:r>
          </w:p>
          <w:p w14:paraId="6B11B2C6" w14:textId="4C829775" w:rsidR="00790DA7" w:rsidRDefault="00790DA7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Rheology</w:t>
            </w:r>
          </w:p>
          <w:p w14:paraId="21043C95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Electrochemistry</w:t>
            </w:r>
          </w:p>
          <w:p w14:paraId="7F6BFA97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Aero-acoustics</w:t>
            </w:r>
          </w:p>
          <w:p w14:paraId="6C7978E6" w14:textId="3E9EB28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="00DD4D3E">
              <w:rPr>
                <w:rFonts w:ascii="Verdana" w:hAnsi="Verdana"/>
                <w:color w:val="000000" w:themeColor="text1"/>
                <w:sz w:val="20"/>
                <w:szCs w:val="20"/>
              </w:rPr>
              <w:t>Plasma</w:t>
            </w:r>
          </w:p>
          <w:p w14:paraId="1F22A077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  <w:t>Conjugate heat transfer</w:t>
            </w:r>
          </w:p>
          <w:p w14:paraId="0B200E1D" w14:textId="61966437" w:rsidR="00DD4D3E" w:rsidRPr="00DD4D3E" w:rsidRDefault="00DD4D3E" w:rsidP="00DD4D3E">
            <w:pPr>
              <w:ind w:left="598" w:hanging="567"/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sz w:val="20"/>
                <w:szCs w:val="20"/>
              </w:rPr>
              <w:t>Viscous flow</w:t>
            </w:r>
          </w:p>
        </w:tc>
        <w:tc>
          <w:tcPr>
            <w:tcW w:w="2268" w:type="dxa"/>
          </w:tcPr>
          <w:p w14:paraId="14BF6BB7" w14:textId="65BEB5D5" w:rsidR="00790DA7" w:rsidRDefault="00790DA7" w:rsidP="00790DA7">
            <w:pPr>
              <w:ind w:left="598" w:hanging="56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ANO</w:t>
            </w:r>
          </w:p>
        </w:tc>
      </w:tr>
      <w:tr w:rsidR="009B7B0C" w14:paraId="4D405305" w14:textId="77777777" w:rsidTr="00790DA7">
        <w:tc>
          <w:tcPr>
            <w:tcW w:w="2268" w:type="dxa"/>
          </w:tcPr>
          <w:p w14:paraId="74D919D1" w14:textId="593DEDE2" w:rsidR="009B7B0C" w:rsidRDefault="009B7B0C" w:rsidP="009B7B0C">
            <w:pPr>
              <w:pStyle w:val="Odstavecseseznamem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FEA řešič pro:</w:t>
            </w:r>
          </w:p>
        </w:tc>
        <w:tc>
          <w:tcPr>
            <w:tcW w:w="4962" w:type="dxa"/>
          </w:tcPr>
          <w:p w14:paraId="553342F4" w14:textId="77777777" w:rsidR="009B7B0C" w:rsidRPr="00DD4D3E" w:rsidRDefault="009B7B0C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Solid mechanics</w:t>
            </w:r>
          </w:p>
          <w:p w14:paraId="68AED40C" w14:textId="706E31D4" w:rsidR="00DD4D3E" w:rsidRPr="00DD4D3E" w:rsidRDefault="00DD4D3E" w:rsidP="00DD4D3E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sz w:val="20"/>
                <w:szCs w:val="20"/>
              </w:rPr>
              <w:t>Static, dynamic, and quasi-static analysis</w:t>
            </w:r>
          </w:p>
          <w:p w14:paraId="1609CC12" w14:textId="77777777" w:rsidR="00DD4D3E" w:rsidRPr="00DD4D3E" w:rsidRDefault="00DD4D3E" w:rsidP="00DD4D3E">
            <w:pPr>
              <w:ind w:left="598" w:hanging="567"/>
              <w:rPr>
                <w:rFonts w:ascii="Verdana" w:hAnsi="Verdana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sz w:val="20"/>
                <w:szCs w:val="20"/>
              </w:rPr>
              <w:t>Linear and non-linear geometry with full and modified Newton matrix update</w:t>
            </w:r>
          </w:p>
          <w:p w14:paraId="10E67DBF" w14:textId="77777777" w:rsidR="00DD4D3E" w:rsidRPr="00DD4D3E" w:rsidRDefault="00DD4D3E" w:rsidP="00DD4D3E">
            <w:pPr>
              <w:ind w:left="598" w:hanging="567"/>
              <w:rPr>
                <w:rFonts w:ascii="Verdana" w:hAnsi="Verdana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sz w:val="20"/>
                <w:szCs w:val="20"/>
              </w:rPr>
              <w:t>Isotropic, orthotropic, and anisotropic linear elastic materials; hyperelastic and elastoplastic materials</w:t>
            </w:r>
          </w:p>
          <w:p w14:paraId="7572CC7E" w14:textId="77777777" w:rsidR="00DD4D3E" w:rsidRPr="00DD4D3E" w:rsidRDefault="00DD4D3E" w:rsidP="00DD4D3E">
            <w:pPr>
              <w:ind w:left="598" w:hanging="567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One-way and two-way Fluid-Structure Interaction (FSI)</w:t>
            </w:r>
          </w:p>
          <w:p w14:paraId="4782316C" w14:textId="0BD5093E" w:rsidR="00DD4D3E" w:rsidRPr="00DD4D3E" w:rsidRDefault="00DD4D3E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sz w:val="20"/>
                <w:szCs w:val="20"/>
              </w:rPr>
              <w:t>Contact modeling</w:t>
            </w:r>
          </w:p>
          <w:p w14:paraId="712A33D1" w14:textId="7DD97A89" w:rsidR="009B7B0C" w:rsidRPr="00DD4D3E" w:rsidRDefault="009B7B0C" w:rsidP="009B7B0C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="00DD4D3E" w:rsidRPr="00DD4D3E">
              <w:rPr>
                <w:rFonts w:ascii="Verdana" w:hAnsi="Verdana"/>
                <w:sz w:val="20"/>
                <w:szCs w:val="20"/>
              </w:rPr>
              <w:t>Low-Frequency Electrodynamics</w:t>
            </w:r>
          </w:p>
          <w:p w14:paraId="5EC65E9F" w14:textId="68C878B6" w:rsidR="009B7B0C" w:rsidRPr="00DD4D3E" w:rsidRDefault="009B7B0C" w:rsidP="009B7B0C">
            <w:pPr>
              <w:ind w:left="598" w:hanging="567"/>
              <w:rPr>
                <w:rFonts w:ascii="Verdana" w:hAnsi="Verdana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="00DD4D3E" w:rsidRPr="00DD4D3E">
              <w:rPr>
                <w:rFonts w:ascii="Verdana" w:hAnsi="Verdana"/>
                <w:sz w:val="20"/>
                <w:szCs w:val="20"/>
              </w:rPr>
              <w:t>Electrostatic</w:t>
            </w:r>
          </w:p>
          <w:p w14:paraId="27FB59A7" w14:textId="442ABFF2" w:rsidR="00DD4D3E" w:rsidRPr="00DD4D3E" w:rsidRDefault="00DD4D3E" w:rsidP="00DD4D3E">
            <w:pPr>
              <w:ind w:left="598" w:hanging="567"/>
              <w:rPr>
                <w:rFonts w:ascii="Verdana" w:hAnsi="Verdana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hAnsi="Verdana"/>
                <w:sz w:val="20"/>
                <w:szCs w:val="20"/>
              </w:rPr>
              <w:t>Electric circuit editor (visual)</w:t>
            </w:r>
          </w:p>
          <w:p w14:paraId="1F9EDBC8" w14:textId="77777777" w:rsidR="00DD4D3E" w:rsidRPr="00DD4D3E" w:rsidRDefault="00DD4D3E" w:rsidP="00DD4D3E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DD4D3E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Multiphysics association </w:t>
            </w:r>
          </w:p>
          <w:p w14:paraId="2C624087" w14:textId="77777777" w:rsidR="00DD4D3E" w:rsidRPr="00DD4D3E" w:rsidRDefault="00DD4D3E" w:rsidP="00DD4D3E">
            <w:pPr>
              <w:widowControl/>
              <w:numPr>
                <w:ilvl w:val="0"/>
                <w:numId w:val="14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Ohmic heating </w:t>
            </w:r>
          </w:p>
          <w:p w14:paraId="50524FB6" w14:textId="77777777" w:rsidR="00DD4D3E" w:rsidRPr="00DD4D3E" w:rsidRDefault="00DD4D3E" w:rsidP="00DD4D3E">
            <w:pPr>
              <w:widowControl/>
              <w:numPr>
                <w:ilvl w:val="0"/>
                <w:numId w:val="14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Magnetohydrodynamics </w:t>
            </w:r>
          </w:p>
          <w:p w14:paraId="47C050F3" w14:textId="2FA8D608" w:rsidR="00B86E63" w:rsidRPr="00DD4D3E" w:rsidRDefault="00DD4D3E" w:rsidP="00DD4D3E">
            <w:pPr>
              <w:widowControl/>
              <w:numPr>
                <w:ilvl w:val="0"/>
                <w:numId w:val="14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3D solid stress from Lorentz forces </w:t>
            </w:r>
          </w:p>
        </w:tc>
        <w:tc>
          <w:tcPr>
            <w:tcW w:w="2268" w:type="dxa"/>
          </w:tcPr>
          <w:p w14:paraId="37EE5504" w14:textId="20A8AE5A" w:rsidR="009B7B0C" w:rsidRDefault="009B7B0C" w:rsidP="009B7B0C">
            <w:pPr>
              <w:ind w:left="598" w:hanging="56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</w:tr>
      <w:tr w:rsidR="001E04A4" w14:paraId="33CC2573" w14:textId="77777777" w:rsidTr="00790DA7">
        <w:tc>
          <w:tcPr>
            <w:tcW w:w="2268" w:type="dxa"/>
          </w:tcPr>
          <w:p w14:paraId="43B22996" w14:textId="554EC57A" w:rsidR="001E04A4" w:rsidRDefault="001E04A4" w:rsidP="001E04A4">
            <w:pPr>
              <w:pStyle w:val="Odstavecseseznamem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Optimalizace:</w:t>
            </w:r>
          </w:p>
        </w:tc>
        <w:tc>
          <w:tcPr>
            <w:tcW w:w="4962" w:type="dxa"/>
          </w:tcPr>
          <w:p w14:paraId="59687F79" w14:textId="7906F6AB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E04A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Software obsahuje následující přístupy k optimalizaci</w:t>
            </w:r>
          </w:p>
          <w:p w14:paraId="6FCE1A1E" w14:textId="77777777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4721BCEC" w14:textId="2C48DE12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Optimization </w:t>
            </w:r>
          </w:p>
          <w:p w14:paraId="74598585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Weighted sum of all objectives (SHERPA) </w:t>
            </w:r>
          </w:p>
          <w:p w14:paraId="10EBA6BE" w14:textId="376AE20D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Multiple objective tradeoff study—Pareto front (MO-SHERPA) </w:t>
            </w:r>
          </w:p>
          <w:p w14:paraId="3C0681BA" w14:textId="77777777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Design of Experiments (DOE) </w:t>
            </w:r>
          </w:p>
          <w:p w14:paraId="60AB9DC0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2 Level Full Factorial </w:t>
            </w:r>
          </w:p>
          <w:p w14:paraId="32CFBF25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3 Level Full Factorial </w:t>
            </w:r>
          </w:p>
          <w:p w14:paraId="3B68837E" w14:textId="478386B0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Latin Hypercube Sampling</w:t>
            </w:r>
          </w:p>
          <w:p w14:paraId="72E9213B" w14:textId="77777777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Robustness and Reliability Analysis </w:t>
            </w:r>
          </w:p>
          <w:p w14:paraId="74ACCD37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Latin Hypercube Sampling</w:t>
            </w:r>
          </w:p>
          <w:p w14:paraId="2449AFB1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Monte Carlo Sampling</w:t>
            </w:r>
          </w:p>
          <w:p w14:paraId="553FE6F1" w14:textId="2088689D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Vstupy do optimalizační studie </w:t>
            </w:r>
          </w:p>
          <w:p w14:paraId="4141342B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3D-CAD design parameters </w:t>
            </w:r>
          </w:p>
          <w:p w14:paraId="7D7B238B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CAD Client design parameters </w:t>
            </w:r>
          </w:p>
          <w:p w14:paraId="780F8819" w14:textId="77777777" w:rsidR="001E04A4" w:rsidRPr="001E04A4" w:rsidRDefault="001E04A4" w:rsidP="001E04A4">
            <w:pPr>
              <w:widowControl/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Global parameters </w:t>
            </w:r>
          </w:p>
          <w:p w14:paraId="54D4CEB8" w14:textId="4A839446" w:rsidR="001E04A4" w:rsidRPr="001E04A4" w:rsidRDefault="001E04A4" w:rsidP="001E04A4">
            <w:pPr>
              <w:widowControl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>•</w:t>
            </w:r>
            <w:r w:rsidRPr="001E04A4">
              <w:rPr>
                <w:rFonts w:ascii="Verdana" w:hAnsi="Verdana"/>
                <w:color w:val="000000" w:themeColor="text1"/>
                <w:sz w:val="20"/>
                <w:szCs w:val="20"/>
              </w:rPr>
              <w:tab/>
            </w:r>
            <w:r w:rsidRPr="001E04A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Simulace a </w:t>
            </w: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Analýza dat</w:t>
            </w:r>
          </w:p>
          <w:p w14:paraId="7DA2F2E1" w14:textId="77777777" w:rsidR="001E04A4" w:rsidRPr="001E04A4" w:rsidRDefault="001E04A4" w:rsidP="001E04A4">
            <w:pPr>
              <w:widowControl/>
              <w:numPr>
                <w:ilvl w:val="0"/>
                <w:numId w:val="13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Local jobs </w:t>
            </w:r>
          </w:p>
          <w:p w14:paraId="22503F9E" w14:textId="77777777" w:rsidR="001E04A4" w:rsidRPr="001E04A4" w:rsidRDefault="001E04A4" w:rsidP="001E04A4">
            <w:pPr>
              <w:widowControl/>
              <w:numPr>
                <w:ilvl w:val="0"/>
                <w:numId w:val="13"/>
              </w:numPr>
              <w:suppressAutoHyphens w:val="0"/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1E04A4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Remote jobs on a cluster</w:t>
            </w:r>
          </w:p>
          <w:p w14:paraId="24F22900" w14:textId="6FFECC39" w:rsidR="001E04A4" w:rsidRPr="001E04A4" w:rsidRDefault="001E04A4" w:rsidP="001E04A4">
            <w:pPr>
              <w:widowControl/>
              <w:numPr>
                <w:ilvl w:val="0"/>
                <w:numId w:val="13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E04A4">
              <w:rPr>
                <w:rFonts w:ascii="Verdana" w:hAnsi="Verdana"/>
                <w:sz w:val="20"/>
                <w:szCs w:val="20"/>
              </w:rPr>
              <w:t>Export to HEEDS|Post</w:t>
            </w:r>
            <w:r w:rsidRPr="001E0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91B9FBE" w14:textId="33CEDE41" w:rsidR="001E04A4" w:rsidRDefault="001E04A4" w:rsidP="001E04A4">
            <w:pPr>
              <w:ind w:left="598" w:hanging="56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ANO</w:t>
            </w:r>
          </w:p>
        </w:tc>
      </w:tr>
      <w:tr w:rsidR="00790DA7" w14:paraId="6F57B6EE" w14:textId="0E93F658" w:rsidTr="00790DA7">
        <w:tc>
          <w:tcPr>
            <w:tcW w:w="2268" w:type="dxa"/>
          </w:tcPr>
          <w:p w14:paraId="4F56EC78" w14:textId="5126F65E" w:rsidR="00790DA7" w:rsidRDefault="00790DA7">
            <w:pPr>
              <w:pStyle w:val="Odstavecseseznamem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Import </w:t>
            </w:r>
            <w:r w:rsidR="00B86E63">
              <w:rPr>
                <w:b/>
                <w:sz w:val="24"/>
                <w:szCs w:val="24"/>
              </w:rPr>
              <w:t xml:space="preserve">a Export </w:t>
            </w:r>
            <w:r>
              <w:rPr>
                <w:b/>
                <w:sz w:val="24"/>
                <w:szCs w:val="24"/>
              </w:rPr>
              <w:t>dat</w:t>
            </w:r>
          </w:p>
        </w:tc>
        <w:tc>
          <w:tcPr>
            <w:tcW w:w="4962" w:type="dxa"/>
          </w:tcPr>
          <w:p w14:paraId="54BA9FD1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Software je schopen importovat a exportovat data ve formátu:</w:t>
            </w:r>
          </w:p>
          <w:p w14:paraId="1692082B" w14:textId="77777777" w:rsidR="00790DA7" w:rsidRPr="00B86E63" w:rsidRDefault="00790DA7">
            <w:pPr>
              <w:suppressAutoHyphens w:val="0"/>
              <w:spacing w:beforeAutospacing="1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86E63">
              <w:rPr>
                <w:rFonts w:ascii="Verdana" w:eastAsia="Times New Roman" w:hAnsi="Verdana" w:cs="Times New Roman"/>
                <w:bCs/>
                <w:iCs/>
                <w:color w:val="auto"/>
                <w:sz w:val="20"/>
                <w:szCs w:val="20"/>
              </w:rPr>
              <w:t>IMPORT:</w:t>
            </w:r>
          </w:p>
          <w:p w14:paraId="7B501B08" w14:textId="77777777" w:rsidR="00790DA7" w:rsidRPr="00B86E63" w:rsidRDefault="00790DA7">
            <w:pPr>
              <w:numPr>
                <w:ilvl w:val="0"/>
                <w:numId w:val="2"/>
              </w:numPr>
              <w:suppressAutoHyphens w:val="0"/>
              <w:spacing w:beforeAutospacing="1"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86E63">
              <w:rPr>
                <w:rFonts w:ascii="Verdana" w:eastAsia="Times New Roman" w:hAnsi="Verdana" w:cs="Times New Roman"/>
                <w:bCs/>
                <w:iCs/>
                <w:color w:val="auto"/>
                <w:sz w:val="20"/>
                <w:szCs w:val="20"/>
              </w:rPr>
              <w:t>Povrchová síť</w:t>
            </w:r>
          </w:p>
          <w:p w14:paraId="4B29F1B3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STAR-CD pro-STAR Surface Mesh (*.dbs)</w:t>
            </w:r>
          </w:p>
          <w:p w14:paraId="232A3A2B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Stereolithography File (*.stl)</w:t>
            </w:r>
          </w:p>
          <w:p w14:paraId="26064ACE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STAR-CD pro-STAR Shell Input (cell/vertex) File (*.inp)</w:t>
            </w:r>
          </w:p>
          <w:p w14:paraId="5A7089BD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Nastran Shells (*.nas, *.bdf, *.dat)</w:t>
            </w:r>
          </w:p>
          <w:p w14:paraId="2A610DC0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 xml:space="preserve">PATRAN Shells (*.pat, *.ntl, </w:t>
            </w: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lastRenderedPageBreak/>
              <w:t>*.neu)</w:t>
            </w:r>
          </w:p>
          <w:p w14:paraId="68593C6A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FELISA Front Surface (*.fro)</w:t>
            </w:r>
          </w:p>
          <w:p w14:paraId="426F9B27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Parasolid Transmit Files (*.x_t, *.x_b, *.xmt_txt, *.xmt_bin)</w:t>
            </w:r>
          </w:p>
          <w:p w14:paraId="4EA00F8B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IGES Files (*.iges, *.igs)</w:t>
            </w:r>
          </w:p>
          <w:p w14:paraId="6D81224F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STEP Files (*.step, *.stp)</w:t>
            </w:r>
          </w:p>
          <w:p w14:paraId="0E0E103C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CATIA V4 Files (*.model, *.exp, *.session)</w:t>
            </w:r>
          </w:p>
          <w:p w14:paraId="4C91980D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CATIA V5 Files (*.catpart, *.catproduct)</w:t>
            </w:r>
          </w:p>
          <w:p w14:paraId="088304CA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SolidWorks Files (*.sldprt, *.sldasm)</w:t>
            </w:r>
          </w:p>
          <w:p w14:paraId="255B7999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Pro/ENGINEER Files (*.prt, *.asm)</w:t>
            </w:r>
          </w:p>
          <w:p w14:paraId="4154AF9C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Siemens NX Files (*.prt)</w:t>
            </w:r>
          </w:p>
          <w:p w14:paraId="68E1C305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Autodesk Inventor Files (*.ipt, *iam)</w:t>
            </w:r>
          </w:p>
          <w:p w14:paraId="38037E5E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VDA Files (*.vda)</w:t>
            </w:r>
          </w:p>
          <w:p w14:paraId="7913B709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Rhino Files (*.3dm)</w:t>
            </w:r>
          </w:p>
          <w:p w14:paraId="0461BAC7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ACIS Files (*.sat, *.sab)</w:t>
            </w:r>
          </w:p>
          <w:p w14:paraId="344703FD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Solid Edge Files (*.par, *.asm)</w:t>
            </w:r>
          </w:p>
          <w:p w14:paraId="2370D462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PLMXML (*.xml, *.plmxml)</w:t>
            </w:r>
          </w:p>
          <w:p w14:paraId="3A90746A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JTOpen Surface Mesh (*.jt)</w:t>
            </w:r>
          </w:p>
          <w:p w14:paraId="52CEE4EB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CATIA CGR Files (*cgr)</w:t>
            </w:r>
          </w:p>
          <w:p w14:paraId="6630E01D" w14:textId="77777777" w:rsidR="00790DA7" w:rsidRPr="00D2261C" w:rsidRDefault="00790DA7">
            <w:pPr>
              <w:numPr>
                <w:ilvl w:val="1"/>
                <w:numId w:val="2"/>
              </w:numPr>
              <w:suppressAutoHyphens w:val="0"/>
              <w:spacing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3D XML (*.3dxml)</w:t>
            </w:r>
          </w:p>
          <w:p w14:paraId="7C12A314" w14:textId="569B57AD" w:rsidR="00790DA7" w:rsidRPr="00B86E63" w:rsidRDefault="00B86E63">
            <w:pPr>
              <w:numPr>
                <w:ilvl w:val="0"/>
                <w:numId w:val="3"/>
              </w:numPr>
              <w:suppressAutoHyphens w:val="0"/>
              <w:spacing w:beforeAutospacing="1"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auto"/>
                <w:sz w:val="20"/>
                <w:szCs w:val="20"/>
              </w:rPr>
              <w:t>Objemová síť</w:t>
            </w:r>
          </w:p>
          <w:p w14:paraId="720741B4" w14:textId="77777777" w:rsidR="00790DA7" w:rsidRPr="00D2261C" w:rsidRDefault="00790DA7">
            <w:pPr>
              <w:numPr>
                <w:ilvl w:val="1"/>
                <w:numId w:val="3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CCM Files (*.ccm, *.ccmg, *.ccmp, *.ccmt)</w:t>
            </w:r>
          </w:p>
          <w:p w14:paraId="1B7097F2" w14:textId="77777777" w:rsidR="00790DA7" w:rsidRPr="00D2261C" w:rsidRDefault="00790DA7">
            <w:pPr>
              <w:numPr>
                <w:ilvl w:val="1"/>
                <w:numId w:val="3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STAR-CD pro-STAR Mesh Files (*.ngeom)</w:t>
            </w:r>
          </w:p>
          <w:p w14:paraId="4981D4A3" w14:textId="77777777" w:rsidR="00790DA7" w:rsidRPr="00D2261C" w:rsidRDefault="00790DA7">
            <w:pPr>
              <w:numPr>
                <w:ilvl w:val="1"/>
                <w:numId w:val="3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Fluent Case Files (*.cas, *.grd, *.msh)</w:t>
            </w:r>
          </w:p>
          <w:p w14:paraId="14C75420" w14:textId="77777777" w:rsidR="00790DA7" w:rsidRPr="00D2261C" w:rsidRDefault="00790DA7">
            <w:pPr>
              <w:numPr>
                <w:ilvl w:val="1"/>
                <w:numId w:val="3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Plot3D Mesh Files (*.grd, *.msh, *.p3d, *.xyz, *.x)</w:t>
            </w:r>
          </w:p>
          <w:p w14:paraId="3DF2FA1C" w14:textId="77777777" w:rsidR="00790DA7" w:rsidRPr="00D2261C" w:rsidRDefault="00790DA7">
            <w:pPr>
              <w:numPr>
                <w:ilvl w:val="1"/>
                <w:numId w:val="3"/>
              </w:numPr>
              <w:suppressAutoHyphens w:val="0"/>
              <w:spacing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CGNS Mesh Files (*.cgns, *.cga, *.cgh)</w:t>
            </w:r>
          </w:p>
          <w:p w14:paraId="2D71DDA3" w14:textId="77777777" w:rsidR="00790DA7" w:rsidRPr="00B86E63" w:rsidRDefault="00790DA7">
            <w:pPr>
              <w:numPr>
                <w:ilvl w:val="0"/>
                <w:numId w:val="4"/>
              </w:numPr>
              <w:suppressAutoHyphens w:val="0"/>
              <w:spacing w:beforeAutospacing="1"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86E63">
              <w:rPr>
                <w:rFonts w:ascii="Verdana" w:eastAsia="Times New Roman" w:hAnsi="Verdana" w:cs="Times New Roman"/>
                <w:bCs/>
                <w:iCs/>
                <w:color w:val="auto"/>
                <w:sz w:val="20"/>
                <w:szCs w:val="20"/>
              </w:rPr>
              <w:t>CAE model</w:t>
            </w:r>
          </w:p>
          <w:p w14:paraId="04508B6A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ABAQUS Input Files (*.inp)</w:t>
            </w:r>
          </w:p>
          <w:p w14:paraId="210102C7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ANSYS Output Files (*.cdb)</w:t>
            </w:r>
          </w:p>
          <w:p w14:paraId="3ED458A5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VTK Input Files (*.vtk)</w:t>
            </w:r>
          </w:p>
          <w:p w14:paraId="73598F4D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EnSight Input Files (*.case)</w:t>
            </w:r>
          </w:p>
          <w:p w14:paraId="4DDB6340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RadTherm Input Files (*.ntl, *.neu)</w:t>
            </w:r>
          </w:p>
          <w:p w14:paraId="747B65D7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Nastran Input Files (*.nas, *.bdf, *.dat)</w:t>
            </w:r>
          </w:p>
          <w:p w14:paraId="3CFECFE8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Simcenter STAR-CCM+ Boundary Files (*.sbd)</w:t>
            </w:r>
          </w:p>
          <w:p w14:paraId="167AD937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STAR-CD pro-STAR Surface Mesh (*.dbs)</w:t>
            </w:r>
          </w:p>
          <w:p w14:paraId="01EBD5F8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Simcenter STAR-CCM+ Surface fft Files (.trn)</w:t>
            </w:r>
          </w:p>
          <w:p w14:paraId="4F7C4D68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STAR-CD pro-STAR Shell Input (cell/vertex) Files (*.inp)</w:t>
            </w:r>
          </w:p>
          <w:p w14:paraId="6EB25F1B" w14:textId="77777777" w:rsidR="00790DA7" w:rsidRPr="00D2261C" w:rsidRDefault="00790DA7">
            <w:pPr>
              <w:numPr>
                <w:ilvl w:val="1"/>
                <w:numId w:val="4"/>
              </w:numPr>
              <w:suppressAutoHyphens w:val="0"/>
              <w:spacing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 xml:space="preserve">RCAS Mesh/Motion Input/Output </w:t>
            </w: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lastRenderedPageBreak/>
              <w:t>File (*.rcas, *.in)</w:t>
            </w:r>
          </w:p>
          <w:p w14:paraId="4BF774DC" w14:textId="77777777" w:rsidR="00790DA7" w:rsidRPr="00B86E63" w:rsidRDefault="00790DA7">
            <w:pPr>
              <w:numPr>
                <w:ilvl w:val="0"/>
                <w:numId w:val="5"/>
              </w:numPr>
              <w:suppressAutoHyphens w:val="0"/>
              <w:spacing w:beforeAutospacing="1"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86E63">
              <w:rPr>
                <w:rFonts w:ascii="Verdana" w:eastAsia="Times New Roman" w:hAnsi="Verdana" w:cs="Times New Roman"/>
                <w:bCs/>
                <w:iCs/>
                <w:color w:val="auto"/>
                <w:sz w:val="20"/>
                <w:szCs w:val="20"/>
              </w:rPr>
              <w:t>Knihovny</w:t>
            </w:r>
          </w:p>
          <w:p w14:paraId="6F4B050B" w14:textId="77777777" w:rsidR="00790DA7" w:rsidRPr="00D2261C" w:rsidRDefault="00790DA7">
            <w:pPr>
              <w:numPr>
                <w:ilvl w:val="1"/>
                <w:numId w:val="5"/>
              </w:numPr>
              <w:suppressAutoHyphens w:val="0"/>
              <w:spacing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FMU Zipped Files (*.fmu)</w:t>
            </w:r>
          </w:p>
          <w:p w14:paraId="2C0D7121" w14:textId="77777777" w:rsidR="00790DA7" w:rsidRPr="00B86E63" w:rsidRDefault="00790DA7">
            <w:pPr>
              <w:suppressAutoHyphens w:val="0"/>
              <w:spacing w:beforeAutospacing="1" w:afterAutospacing="1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86E63">
              <w:rPr>
                <w:rFonts w:ascii="Verdana" w:eastAsia="Times New Roman" w:hAnsi="Verdana" w:cs="Times New Roman"/>
                <w:bCs/>
                <w:iCs/>
                <w:color w:val="auto"/>
                <w:sz w:val="20"/>
                <w:szCs w:val="20"/>
              </w:rPr>
              <w:t>EXPORT:</w:t>
            </w:r>
          </w:p>
          <w:p w14:paraId="1AB9DBD4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beforeAutospacing="1"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CCM files (*.ccm)</w:t>
            </w:r>
          </w:p>
          <w:p w14:paraId="67330983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Ensight Gold Files (*.case)</w:t>
            </w:r>
          </w:p>
          <w:p w14:paraId="2C00DAF4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FIELDVIEW Files (*.fvuns)</w:t>
            </w:r>
          </w:p>
          <w:p w14:paraId="37DC9FDA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Tecplot 360 Files (*.plt)</w:t>
            </w:r>
          </w:p>
          <w:p w14:paraId="25ED468A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Boundary Shell Files (*.cel)</w:t>
            </w:r>
          </w:p>
          <w:p w14:paraId="1AB7D588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Boundary Data Files (*.sbd)</w:t>
            </w:r>
          </w:p>
          <w:p w14:paraId="19877B21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RadTherm Patran Neutral Files (*.ntl)</w:t>
            </w:r>
          </w:p>
          <w:p w14:paraId="7D8B67B8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Surface fft Files (*.trn)</w:t>
            </w:r>
          </w:p>
          <w:p w14:paraId="6816E9AA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Nastran Load History Files (*.bdf)</w:t>
            </w:r>
          </w:p>
          <w:p w14:paraId="520F0748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CGNS, CFD General Notation System (HDF5) Files (*.cgns)</w:t>
            </w:r>
          </w:p>
          <w:p w14:paraId="25973DE8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="0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CGNS, CFD General Notation System (ADF) Files (*.cga)</w:t>
            </w:r>
          </w:p>
          <w:p w14:paraId="362EC493" w14:textId="77777777" w:rsidR="00790DA7" w:rsidRPr="00D2261C" w:rsidRDefault="00790DA7">
            <w:pPr>
              <w:numPr>
                <w:ilvl w:val="0"/>
                <w:numId w:val="6"/>
              </w:numPr>
              <w:suppressAutoHyphens w:val="0"/>
              <w:spacing w:afterAutospacing="1"/>
              <w:ind w:left="1068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2261C">
              <w:rPr>
                <w:rFonts w:ascii="Verdana" w:eastAsia="Times New Roman" w:hAnsi="Verdana" w:cs="Times New Roman"/>
                <w:iCs/>
                <w:color w:val="auto"/>
                <w:sz w:val="20"/>
                <w:szCs w:val="20"/>
              </w:rPr>
              <w:t>Siemens Virtual.Lab Custom CGNS (HDF5) Files (*.cgns)</w:t>
            </w:r>
          </w:p>
          <w:p w14:paraId="3B380655" w14:textId="77777777" w:rsidR="00790DA7" w:rsidRDefault="00790DA7">
            <w:pPr>
              <w:ind w:left="598" w:hanging="567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5E3D8C" w14:textId="1136218B" w:rsidR="00790DA7" w:rsidRDefault="00790DA7" w:rsidP="00790DA7">
            <w:pPr>
              <w:ind w:left="598" w:hanging="56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</w:tr>
      <w:tr w:rsidR="00DD4D3E" w14:paraId="36CD81B3" w14:textId="77777777" w:rsidTr="00790DA7">
        <w:tc>
          <w:tcPr>
            <w:tcW w:w="2268" w:type="dxa"/>
            <w:tcBorders>
              <w:top w:val="nil"/>
            </w:tcBorders>
          </w:tcPr>
          <w:p w14:paraId="6909AAC3" w14:textId="06F071B3" w:rsidR="00DD4D3E" w:rsidRDefault="00DD4D3E">
            <w:pPr>
              <w:pStyle w:val="Odstavecseseznamem"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Co-simulace s CAE</w:t>
            </w:r>
          </w:p>
        </w:tc>
        <w:tc>
          <w:tcPr>
            <w:tcW w:w="4962" w:type="dxa"/>
            <w:tcBorders>
              <w:top w:val="nil"/>
            </w:tcBorders>
          </w:tcPr>
          <w:p w14:paraId="57CBA7D8" w14:textId="18E68C72" w:rsidR="00DD4D3E" w:rsidRPr="00B90BEC" w:rsidRDefault="00DD4D3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90BEC">
              <w:rPr>
                <w:rFonts w:ascii="Verdana" w:hAnsi="Verdana"/>
                <w:color w:val="000000" w:themeColor="text1"/>
                <w:sz w:val="20"/>
                <w:szCs w:val="20"/>
              </w:rPr>
              <w:t>Možnost co-simulace s 1D a 3D CAE systémy</w:t>
            </w:r>
          </w:p>
          <w:p w14:paraId="16A272D7" w14:textId="466ED06E" w:rsidR="00DD4D3E" w:rsidRPr="00B90BEC" w:rsidRDefault="00DD4D3E" w:rsidP="00B90BEC">
            <w:pPr>
              <w:pStyle w:val="Odstavecseseznamem"/>
              <w:widowControl/>
              <w:numPr>
                <w:ilvl w:val="0"/>
                <w:numId w:val="17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90BEC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Co-simulace s 1D systémy</w:t>
            </w:r>
          </w:p>
          <w:p w14:paraId="711C6949" w14:textId="77777777" w:rsidR="00DD4D3E" w:rsidRPr="00DD4D3E" w:rsidRDefault="00DD4D3E" w:rsidP="00DD4D3E">
            <w:pPr>
              <w:widowControl/>
              <w:numPr>
                <w:ilvl w:val="0"/>
                <w:numId w:val="15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GT-SUITE (Gamma Technologies, LLC) </w:t>
            </w:r>
          </w:p>
          <w:p w14:paraId="6A0004C9" w14:textId="77777777" w:rsidR="00DD4D3E" w:rsidRPr="00DD4D3E" w:rsidRDefault="00DD4D3E" w:rsidP="00DD4D3E">
            <w:pPr>
              <w:widowControl/>
              <w:numPr>
                <w:ilvl w:val="0"/>
                <w:numId w:val="15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Simcenter Amesim (Siemens Digital Industries Software) </w:t>
            </w:r>
          </w:p>
          <w:p w14:paraId="1DC4892F" w14:textId="77777777" w:rsidR="00DD4D3E" w:rsidRPr="00DD4D3E" w:rsidRDefault="00DD4D3E" w:rsidP="00DD4D3E">
            <w:pPr>
              <w:widowControl/>
              <w:numPr>
                <w:ilvl w:val="0"/>
                <w:numId w:val="15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RELAP5-3D (Idaho National Laboratory, INL) </w:t>
            </w:r>
          </w:p>
          <w:p w14:paraId="17CF94B6" w14:textId="1BA2067B" w:rsidR="00DD4D3E" w:rsidRPr="00B90BEC" w:rsidRDefault="00DD4D3E" w:rsidP="00B90BEC">
            <w:pPr>
              <w:pStyle w:val="Odstavecseseznamem"/>
              <w:widowControl/>
              <w:numPr>
                <w:ilvl w:val="0"/>
                <w:numId w:val="15"/>
              </w:numPr>
              <w:suppressAutoHyphens w:val="0"/>
              <w:spacing w:after="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90BEC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Co-</w:t>
            </w:r>
            <w:r w:rsidR="00B90BEC" w:rsidRPr="00B90BEC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simulace s 3D systémy</w:t>
            </w:r>
            <w:r w:rsidRPr="00B90BEC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</w:p>
          <w:p w14:paraId="1188CC48" w14:textId="151EC77F" w:rsidR="00DD4D3E" w:rsidRPr="00DD4D3E" w:rsidRDefault="00DD4D3E" w:rsidP="00DD4D3E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B90BEC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Simcenter STAR-CCM+</w:t>
            </w: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(</w:t>
            </w:r>
            <w:r w:rsidR="00B90BEC"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Siemens Digital Industries Software</w:t>
            </w: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) </w:t>
            </w:r>
          </w:p>
          <w:p w14:paraId="4811A88B" w14:textId="77777777" w:rsidR="00DD4D3E" w:rsidRPr="00DD4D3E" w:rsidRDefault="00DD4D3E" w:rsidP="00DD4D3E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Abaqus (Dassault Systèmes) </w:t>
            </w:r>
          </w:p>
          <w:p w14:paraId="687BB3C9" w14:textId="77777777" w:rsidR="00DD4D3E" w:rsidRPr="00DD4D3E" w:rsidRDefault="00DD4D3E" w:rsidP="00DD4D3E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Simcenter Nastran</w:t>
            </w:r>
          </w:p>
          <w:p w14:paraId="6CAD174F" w14:textId="01723664" w:rsidR="00DD4D3E" w:rsidRPr="00DD4D3E" w:rsidRDefault="00DD4D3E" w:rsidP="00DD4D3E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Third-party/user-specific tools using co-simulation API </w:t>
            </w:r>
          </w:p>
          <w:p w14:paraId="32E8F98B" w14:textId="078B840A" w:rsidR="00DD4D3E" w:rsidRPr="00B90BEC" w:rsidRDefault="00DD4D3E" w:rsidP="00B90BEC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after="100" w:afterAutospacing="1"/>
              <w:ind w:left="1440"/>
              <w:jc w:val="left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DD4D3E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Functional Mock-up Interface (FMI): any Co-Simulation FMU compli</w:t>
            </w:r>
            <w:r w:rsidR="00B90BEC" w:rsidRPr="00B90BEC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ant with the standard 1.0 &amp; 2.0</w:t>
            </w:r>
          </w:p>
        </w:tc>
        <w:tc>
          <w:tcPr>
            <w:tcW w:w="2268" w:type="dxa"/>
            <w:tcBorders>
              <w:top w:val="nil"/>
            </w:tcBorders>
          </w:tcPr>
          <w:p w14:paraId="2EBA2941" w14:textId="77777777" w:rsidR="00DD4D3E" w:rsidRDefault="00DD4D3E" w:rsidP="00790DA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2313F8CE" w14:textId="77777777" w:rsidR="00013A9A" w:rsidRDefault="00013A9A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503CBD0B" w14:textId="77777777" w:rsidR="00013A9A" w:rsidRDefault="00013A9A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71A6BE59" w14:textId="77777777" w:rsidR="00013A9A" w:rsidRDefault="00013A9A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14:paraId="24E161DB" w14:textId="77777777" w:rsidR="00013A9A" w:rsidRDefault="00013A9A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sectPr w:rsidR="00013A9A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05A18" w16cid:durableId="6A230FC9"/>
  <w16cid:commentId w16cid:paraId="58ECCF58" w16cid:durableId="74F8BE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8CC3B" w14:textId="77777777" w:rsidR="0049495F" w:rsidRDefault="0049495F">
      <w:pPr>
        <w:spacing w:after="0"/>
      </w:pPr>
      <w:r>
        <w:separator/>
      </w:r>
    </w:p>
  </w:endnote>
  <w:endnote w:type="continuationSeparator" w:id="0">
    <w:p w14:paraId="7B3BBEBB" w14:textId="77777777" w:rsidR="0049495F" w:rsidRDefault="00494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11F9D" w14:textId="77777777" w:rsidR="0049495F" w:rsidRDefault="0049495F">
      <w:pPr>
        <w:spacing w:after="0"/>
      </w:pPr>
      <w:r>
        <w:separator/>
      </w:r>
    </w:p>
  </w:footnote>
  <w:footnote w:type="continuationSeparator" w:id="0">
    <w:p w14:paraId="3000C8C6" w14:textId="77777777" w:rsidR="0049495F" w:rsidRDefault="00494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4C09E" w14:textId="77777777" w:rsidR="00013A9A" w:rsidRDefault="00F74E51">
    <w:pPr>
      <w:pStyle w:val="Zhlav"/>
    </w:pPr>
    <w:r>
      <w:rPr>
        <w:noProof/>
      </w:rPr>
      <w:drawing>
        <wp:anchor distT="0" distB="0" distL="0" distR="0" simplePos="0" relativeHeight="4" behindDoc="1" locked="0" layoutInCell="0" allowOverlap="1" wp14:anchorId="5EF01897" wp14:editId="3BEC36E4">
          <wp:simplePos x="0" y="0"/>
          <wp:positionH relativeFrom="column">
            <wp:posOffset>4380865</wp:posOffset>
          </wp:positionH>
          <wp:positionV relativeFrom="paragraph">
            <wp:posOffset>-297180</wp:posOffset>
          </wp:positionV>
          <wp:extent cx="1584960" cy="606425"/>
          <wp:effectExtent l="0" t="0" r="0" b="0"/>
          <wp:wrapNone/>
          <wp:docPr id="1" name="Obrázek 1" descr="Fakulta strojního inženýrství Univerzity Jana Evangelisty Purkyně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kulta strojního inženýrství Univerzity Jana Evangelisty Purkyně ..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96F"/>
    <w:multiLevelType w:val="multilevel"/>
    <w:tmpl w:val="67F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86A4A"/>
    <w:multiLevelType w:val="hybridMultilevel"/>
    <w:tmpl w:val="B880B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616"/>
    <w:multiLevelType w:val="multilevel"/>
    <w:tmpl w:val="163EA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800D0"/>
    <w:multiLevelType w:val="multilevel"/>
    <w:tmpl w:val="AF16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963E0"/>
    <w:multiLevelType w:val="multilevel"/>
    <w:tmpl w:val="C2A6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7270"/>
    <w:multiLevelType w:val="multilevel"/>
    <w:tmpl w:val="1B3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C4E02"/>
    <w:multiLevelType w:val="multilevel"/>
    <w:tmpl w:val="56C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54F6D"/>
    <w:multiLevelType w:val="multilevel"/>
    <w:tmpl w:val="BA72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2D176D"/>
    <w:multiLevelType w:val="multilevel"/>
    <w:tmpl w:val="D2208C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0E409A5"/>
    <w:multiLevelType w:val="multilevel"/>
    <w:tmpl w:val="5E2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7F0C7B"/>
    <w:multiLevelType w:val="multilevel"/>
    <w:tmpl w:val="0B3E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263F5"/>
    <w:multiLevelType w:val="multilevel"/>
    <w:tmpl w:val="D23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6C1DC8"/>
    <w:multiLevelType w:val="multilevel"/>
    <w:tmpl w:val="7A7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77426"/>
    <w:multiLevelType w:val="multilevel"/>
    <w:tmpl w:val="56C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B4F84"/>
    <w:multiLevelType w:val="multilevel"/>
    <w:tmpl w:val="A2A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40141F"/>
    <w:multiLevelType w:val="multilevel"/>
    <w:tmpl w:val="56C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D3B0E"/>
    <w:multiLevelType w:val="multilevel"/>
    <w:tmpl w:val="8F82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5"/>
  </w:num>
  <w:num w:numId="11">
    <w:abstractNumId w:val="16"/>
  </w:num>
  <w:num w:numId="12">
    <w:abstractNumId w:val="10"/>
  </w:num>
  <w:num w:numId="13">
    <w:abstractNumId w:val="4"/>
  </w:num>
  <w:num w:numId="14">
    <w:abstractNumId w:val="12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9A"/>
    <w:rsid w:val="00013A9A"/>
    <w:rsid w:val="00013D89"/>
    <w:rsid w:val="001338DD"/>
    <w:rsid w:val="0014795F"/>
    <w:rsid w:val="001E04A4"/>
    <w:rsid w:val="003521B3"/>
    <w:rsid w:val="004113ED"/>
    <w:rsid w:val="0049495F"/>
    <w:rsid w:val="005B6BF4"/>
    <w:rsid w:val="00771CAF"/>
    <w:rsid w:val="00790DA7"/>
    <w:rsid w:val="008351E7"/>
    <w:rsid w:val="008F72DE"/>
    <w:rsid w:val="00903569"/>
    <w:rsid w:val="009B7B0C"/>
    <w:rsid w:val="00B86E63"/>
    <w:rsid w:val="00B90BEC"/>
    <w:rsid w:val="00B96293"/>
    <w:rsid w:val="00BF0597"/>
    <w:rsid w:val="00C96329"/>
    <w:rsid w:val="00CC0564"/>
    <w:rsid w:val="00D2261C"/>
    <w:rsid w:val="00D83ADF"/>
    <w:rsid w:val="00DD4D3E"/>
    <w:rsid w:val="00E334A9"/>
    <w:rsid w:val="00E41CAB"/>
    <w:rsid w:val="00EC7860"/>
    <w:rsid w:val="00ED363D"/>
    <w:rsid w:val="00F74E51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EE83"/>
  <w15:docId w15:val="{50C06226-A569-4A50-88DB-9769801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00"/>
    <w:pPr>
      <w:widowControl w:val="0"/>
      <w:spacing w:after="120"/>
      <w:jc w:val="both"/>
    </w:pPr>
    <w:rPr>
      <w:rFonts w:cs="Calibri"/>
      <w:color w:val="00000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sid w:val="006B6DEF"/>
    <w:rPr>
      <w:rFonts w:cs="Times New Roman"/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2F96"/>
    <w:rPr>
      <w:rFonts w:ascii="Segoe UI" w:hAnsi="Segoe UI" w:cs="Segoe UI"/>
      <w:color w:val="000000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E549F"/>
    <w:rPr>
      <w:rFonts w:cs="Calibri"/>
      <w:color w:val="00000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E549F"/>
    <w:rPr>
      <w:rFonts w:cs="Calibri"/>
      <w:color w:val="000000"/>
      <w:lang w:val="cs-CZ" w:eastAsia="cs-CZ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54C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2F9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table" w:styleId="Mkatabulky">
    <w:name w:val="Table Grid"/>
    <w:basedOn w:val="Normlntabulka"/>
    <w:rsid w:val="0001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+"/>
    <w:basedOn w:val="Standardnpsmoodstavce"/>
    <w:rsid w:val="00DD4D3E"/>
  </w:style>
  <w:style w:type="character" w:styleId="Odkaznakoment">
    <w:name w:val="annotation reference"/>
    <w:basedOn w:val="Standardnpsmoodstavce"/>
    <w:uiPriority w:val="99"/>
    <w:semiHidden/>
    <w:unhideWhenUsed/>
    <w:rsid w:val="008351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1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1E7"/>
    <w:rPr>
      <w:rFonts w:cs="Calibri"/>
      <w:color w:val="000000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1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1E7"/>
    <w:rPr>
      <w:rFonts w:cs="Calibri"/>
      <w:b/>
      <w:bCs/>
      <w:color w:val="000000"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1338DD"/>
    <w:pPr>
      <w:suppressAutoHyphens w:val="0"/>
    </w:pPr>
    <w:rPr>
      <w:rFonts w:cs="Calibri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1DAA-B961-460F-A9D9-4BFFAAFA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 - Vybavení laboratoře atomové a jaderné fyziky</vt:lpstr>
    </vt:vector>
  </TitlesOfParts>
  <Company>REK UJEP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- Vybavení laboratoře atomové a jaderné fyziky</dc:title>
  <dc:subject/>
  <dc:creator>suchal</dc:creator>
  <dc:description/>
  <cp:lastModifiedBy>jezkovas</cp:lastModifiedBy>
  <cp:revision>2</cp:revision>
  <cp:lastPrinted>2021-10-22T08:54:00Z</cp:lastPrinted>
  <dcterms:created xsi:type="dcterms:W3CDTF">2025-06-23T09:16:00Z</dcterms:created>
  <dcterms:modified xsi:type="dcterms:W3CDTF">2025-06-23T09:16:00Z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REK UJEP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