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2E91" w14:textId="77777777" w:rsidR="00A04DF7" w:rsidRDefault="00602E86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Time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resolved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PIV – technická specifikace</w:t>
      </w:r>
    </w:p>
    <w:p w14:paraId="59456929" w14:textId="51721D86" w:rsidR="00A04DF7" w:rsidRDefault="00602E86">
      <w:pP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Tato technická specifikace definuje požadavky na dodávku systému pro měření metodou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Particle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Image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Velocimetry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(PIV) obsahující moduly pro zaznamenání rychlých změn proudění, deformací materiálu, moduly pro stínovou vizualizační techniku včetně nutného příslušenství pro provoz systémů. Systém musí být hardwarově i softwarově kompatibilní se stávajícím PIV měřicím systémem provozovaným na univerzitě UJEP</w:t>
      </w:r>
      <w:r>
        <w:rPr>
          <w:rFonts w:ascii="Verdana" w:eastAsia="Verdana" w:hAnsi="Verdana" w:cs="Verdana"/>
          <w:sz w:val="20"/>
          <w:szCs w:val="20"/>
        </w:rPr>
        <w:t>, Fakultě strojního inženýrství</w:t>
      </w:r>
      <w:r w:rsidR="00997CD1">
        <w:rPr>
          <w:rFonts w:ascii="Verdana" w:eastAsia="Verdana" w:hAnsi="Verdana" w:cs="Verdana"/>
          <w:sz w:val="20"/>
          <w:szCs w:val="20"/>
        </w:rPr>
        <w:t xml:space="preserve"> (</w:t>
      </w:r>
      <w:r w:rsidR="00997CD1" w:rsidRPr="00997CD1">
        <w:rPr>
          <w:rFonts w:ascii="Verdana" w:eastAsia="Verdana" w:hAnsi="Verdana" w:cs="Verdana"/>
          <w:sz w:val="20"/>
          <w:szCs w:val="20"/>
          <w:highlight w:val="green"/>
        </w:rPr>
        <w:t xml:space="preserve">stávající systém </w:t>
      </w:r>
      <w:r w:rsidR="00997CD1">
        <w:rPr>
          <w:rFonts w:ascii="Verdana" w:eastAsia="Verdana" w:hAnsi="Verdana" w:cs="Verdana"/>
          <w:sz w:val="20"/>
          <w:szCs w:val="20"/>
          <w:highlight w:val="green"/>
        </w:rPr>
        <w:t xml:space="preserve">Stereo PIV , </w:t>
      </w:r>
      <w:proofErr w:type="spellStart"/>
      <w:r w:rsidR="00997CD1">
        <w:rPr>
          <w:rFonts w:ascii="Verdana" w:eastAsia="Verdana" w:hAnsi="Verdana" w:cs="Verdana"/>
          <w:sz w:val="20"/>
          <w:szCs w:val="20"/>
          <w:highlight w:val="green"/>
        </w:rPr>
        <w:t>micro</w:t>
      </w:r>
      <w:proofErr w:type="spellEnd"/>
      <w:r w:rsidR="00997CD1">
        <w:rPr>
          <w:rFonts w:ascii="Verdana" w:eastAsia="Verdana" w:hAnsi="Verdana" w:cs="Verdana"/>
          <w:sz w:val="20"/>
          <w:szCs w:val="20"/>
          <w:highlight w:val="green"/>
        </w:rPr>
        <w:t xml:space="preserve"> PIV - </w:t>
      </w:r>
      <w:bookmarkStart w:id="0" w:name="_GoBack"/>
      <w:bookmarkEnd w:id="0"/>
      <w:proofErr w:type="spellStart"/>
      <w:r w:rsidR="00997CD1" w:rsidRPr="00997CD1">
        <w:rPr>
          <w:rFonts w:ascii="Verdana" w:eastAsia="Verdana" w:hAnsi="Verdana" w:cs="Verdana"/>
          <w:sz w:val="20"/>
          <w:szCs w:val="20"/>
          <w:highlight w:val="green"/>
        </w:rPr>
        <w:t>Lavision</w:t>
      </w:r>
      <w:proofErr w:type="spellEnd"/>
      <w:r w:rsidR="00997CD1" w:rsidRPr="00997CD1">
        <w:rPr>
          <w:rFonts w:ascii="Verdana" w:eastAsia="Verdana" w:hAnsi="Verdana" w:cs="Verdana"/>
          <w:sz w:val="20"/>
          <w:szCs w:val="20"/>
          <w:highlight w:val="green"/>
        </w:rPr>
        <w:t xml:space="preserve"> se softwarem </w:t>
      </w:r>
      <w:proofErr w:type="spellStart"/>
      <w:r w:rsidR="00997CD1">
        <w:rPr>
          <w:rFonts w:ascii="Verdana" w:eastAsia="Verdana" w:hAnsi="Verdana" w:cs="Verdana"/>
          <w:sz w:val="20"/>
          <w:szCs w:val="20"/>
          <w:highlight w:val="green"/>
        </w:rPr>
        <w:t>D</w:t>
      </w:r>
      <w:r w:rsidR="00997CD1" w:rsidRPr="00997CD1">
        <w:rPr>
          <w:rFonts w:ascii="Verdana" w:eastAsia="Verdana" w:hAnsi="Verdana" w:cs="Verdana"/>
          <w:sz w:val="20"/>
          <w:szCs w:val="20"/>
          <w:highlight w:val="green"/>
        </w:rPr>
        <w:t>aVis</w:t>
      </w:r>
      <w:proofErr w:type="spellEnd"/>
      <w:r w:rsidR="00997CD1" w:rsidRPr="00997CD1">
        <w:rPr>
          <w:rFonts w:ascii="Verdana" w:eastAsia="Verdana" w:hAnsi="Verdana" w:cs="Verdana"/>
          <w:sz w:val="20"/>
          <w:szCs w:val="20"/>
          <w:highlight w:val="green"/>
        </w:rPr>
        <w:t xml:space="preserve"> )</w:t>
      </w:r>
      <w:r w:rsidRPr="00997CD1">
        <w:rPr>
          <w:rFonts w:ascii="Verdana" w:eastAsia="Verdana" w:hAnsi="Verdana" w:cs="Verdana"/>
          <w:color w:val="000000"/>
          <w:sz w:val="20"/>
          <w:szCs w:val="20"/>
          <w:highlight w:val="green"/>
        </w:rPr>
        <w:t>.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Požadovaná dodávka zahrnuje dopravu, instalaci, uvedení do provozu a zaškolení obsluhy zařízení. Konkrétní požadované technické parametry jsou uvedeny v následující tabulce:</w:t>
      </w:r>
    </w:p>
    <w:tbl>
      <w:tblPr>
        <w:tblStyle w:val="a"/>
        <w:tblW w:w="87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6"/>
        <w:gridCol w:w="5718"/>
      </w:tblGrid>
      <w:tr w:rsidR="00A04DF7" w14:paraId="766E087A" w14:textId="77777777">
        <w:tc>
          <w:tcPr>
            <w:tcW w:w="2996" w:type="dxa"/>
          </w:tcPr>
          <w:p w14:paraId="56E026BB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Vysokorychlostní kamera</w:t>
            </w:r>
          </w:p>
        </w:tc>
        <w:tc>
          <w:tcPr>
            <w:tcW w:w="5718" w:type="dxa"/>
          </w:tcPr>
          <w:p w14:paraId="703AAFCB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Typ senzoru: CMOS </w:t>
            </w:r>
          </w:p>
          <w:p w14:paraId="1676F31D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Rozlišení senzoru ≥ 1,2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C595675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Maximální snímková frekvence při plném rozlišení: větší než 10 kHz</w:t>
            </w:r>
          </w:p>
          <w:p w14:paraId="3A56A5D0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Bitová hloubka: minimálně 12 bitů</w:t>
            </w:r>
          </w:p>
          <w:p w14:paraId="2923F834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Vnitřní paměť: minimálně 72 GB</w:t>
            </w:r>
          </w:p>
          <w:p w14:paraId="63F59BFC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Komunikační rozhraní: vysokorychlostní síťové rozhraní, minimálně 10 Gigabit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Ethernet</w:t>
            </w:r>
            <w:proofErr w:type="spellEnd"/>
          </w:p>
          <w:p w14:paraId="606DFC1F" w14:textId="77777777" w:rsidR="00A04DF7" w:rsidRDefault="00A04DF7">
            <w:pPr>
              <w:spacing w:after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A04DF7" w14:paraId="0A01ABF6" w14:textId="77777777">
        <w:tc>
          <w:tcPr>
            <w:tcW w:w="2996" w:type="dxa"/>
          </w:tcPr>
          <w:p w14:paraId="76481AA4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Příslušenství k vysokorychlostní kameře</w:t>
            </w:r>
          </w:p>
        </w:tc>
        <w:tc>
          <w:tcPr>
            <w:tcW w:w="5718" w:type="dxa"/>
          </w:tcPr>
          <w:p w14:paraId="4732FC31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Příslušenství nutné k fungování kamery (položka 1) včetně síťové karty, přepravního boxu nebo tašky, propojovacích kabelů nutných pro propojení s řídicím systémem</w:t>
            </w:r>
          </w:p>
        </w:tc>
      </w:tr>
      <w:tr w:rsidR="00A04DF7" w14:paraId="5DF3D3FE" w14:textId="77777777">
        <w:tc>
          <w:tcPr>
            <w:tcW w:w="2996" w:type="dxa"/>
          </w:tcPr>
          <w:p w14:paraId="7D2EACC4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sCMOS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kamera</w:t>
            </w:r>
          </w:p>
        </w:tc>
        <w:tc>
          <w:tcPr>
            <w:tcW w:w="5718" w:type="dxa"/>
          </w:tcPr>
          <w:p w14:paraId="02A6E872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Typ senzoru: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sCMOS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8302006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Rozlišení senzoru  ≥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Mpx</w:t>
            </w:r>
            <w:proofErr w:type="spellEnd"/>
          </w:p>
          <w:p w14:paraId="49497261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Dosažitelná časová prodleva mezi 2 snímky: 120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ns</w:t>
            </w:r>
            <w:proofErr w:type="spellEnd"/>
          </w:p>
          <w:p w14:paraId="21B5C8CF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Kvantová účinnost: minimálně 50 % při vlnové délce 550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nm</w:t>
            </w:r>
            <w:proofErr w:type="spellEnd"/>
          </w:p>
          <w:p w14:paraId="55E5714F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Maximální snímková frekvence při plném rozlišení: minimálně 50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fps</w:t>
            </w:r>
            <w:proofErr w:type="spellEnd"/>
          </w:p>
          <w:p w14:paraId="5E38C1CF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Komunikační rozhraní: optické datové propojení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optic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link) nebo ekvivalentní vysokorychlostní rozhraní</w:t>
            </w:r>
          </w:p>
          <w:p w14:paraId="4270016F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Počet kusů: 2</w:t>
            </w:r>
          </w:p>
        </w:tc>
      </w:tr>
      <w:tr w:rsidR="00A04DF7" w14:paraId="174F92B1" w14:textId="77777777">
        <w:tc>
          <w:tcPr>
            <w:tcW w:w="2996" w:type="dxa"/>
          </w:tcPr>
          <w:p w14:paraId="6E189ADA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Příslušenství k 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sCMOS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kameře (kompatibilní s položkou 3)</w:t>
            </w:r>
          </w:p>
        </w:tc>
        <w:tc>
          <w:tcPr>
            <w:tcW w:w="5718" w:type="dxa"/>
          </w:tcPr>
          <w:p w14:paraId="40F98665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ks objektivů s připojením F-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ohnisková vzdálenost 50 mm, minimální clonové číslo ≤ 1.4, závit pro filtr 58 mm, celokovový rámeček včetně bajonetu</w:t>
            </w:r>
          </w:p>
          <w:p w14:paraId="3FA5AB6E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ks filtrů pro objektivy s průměrem závitu 58 mm, vlnová délka filtrů 532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nm</w:t>
            </w:r>
            <w:proofErr w:type="spellEnd"/>
          </w:p>
          <w:p w14:paraId="51AE7387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ks modulů pro nastavení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Scheimpflugovy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podmínky včetně vhodné konstrukce pro uchycení kamer o min. délce 1000 mm</w:t>
            </w:r>
          </w:p>
          <w:p w14:paraId="2C92D058" w14:textId="77777777" w:rsidR="00A04DF7" w:rsidRDefault="00A04D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4DF7" w14:paraId="3B303162" w14:textId="77777777">
        <w:tc>
          <w:tcPr>
            <w:tcW w:w="2996" w:type="dxa"/>
          </w:tcPr>
          <w:p w14:paraId="62BB5828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Řídicí a synchronizační systém </w:t>
            </w:r>
          </w:p>
        </w:tc>
        <w:tc>
          <w:tcPr>
            <w:tcW w:w="5718" w:type="dxa"/>
          </w:tcPr>
          <w:p w14:paraId="4831D7CA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Externí synchronizační jednotka pro řízení kamer a laseru vhodná i pro vysokorychlostní aplikace</w:t>
            </w:r>
          </w:p>
        </w:tc>
      </w:tr>
      <w:tr w:rsidR="00A04DF7" w14:paraId="427E8E21" w14:textId="77777777">
        <w:tc>
          <w:tcPr>
            <w:tcW w:w="2996" w:type="dxa"/>
          </w:tcPr>
          <w:p w14:paraId="42E33DA4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Systémový počítač</w:t>
            </w:r>
          </w:p>
        </w:tc>
        <w:tc>
          <w:tcPr>
            <w:tcW w:w="5718" w:type="dxa"/>
          </w:tcPr>
          <w:p w14:paraId="22C08988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Procesor: minimálně 1× procesor s 20 fyzickými jádry</w:t>
            </w:r>
          </w:p>
          <w:p w14:paraId="4F68EEC9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Operační paměť: odpovídající parametrům pro plné využití procesoru a rychlý přenos dat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-art)</w:t>
            </w:r>
          </w:p>
          <w:p w14:paraId="079D80B2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Datové úložiště: vysokorychlostní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RAID pro rychlý záznam a stahování dat, celková kapacita úložiště &gt; 12 TB</w:t>
            </w:r>
          </w:p>
          <w:p w14:paraId="405EE0D1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Periferní zařízení: klávesnice a myš</w:t>
            </w:r>
          </w:p>
          <w:p w14:paraId="12E37597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Operační systém: kompatibilní se systémem univerzity UJEP</w:t>
            </w:r>
          </w:p>
          <w:p w14:paraId="3B22D628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Monitor: 27″ s rozlišením 4K</w:t>
            </w:r>
          </w:p>
        </w:tc>
      </w:tr>
      <w:tr w:rsidR="00A04DF7" w14:paraId="46B909C1" w14:textId="77777777">
        <w:tc>
          <w:tcPr>
            <w:tcW w:w="2996" w:type="dxa"/>
          </w:tcPr>
          <w:p w14:paraId="0C1F5A6A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Počítač pro vyhodnocení dat</w:t>
            </w:r>
          </w:p>
        </w:tc>
        <w:tc>
          <w:tcPr>
            <w:tcW w:w="5718" w:type="dxa"/>
          </w:tcPr>
          <w:p w14:paraId="29DC407E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Procesor: minimálně 1× procesor s 10 fyzickými jádry</w:t>
            </w:r>
          </w:p>
          <w:p w14:paraId="01A2ED28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Operační paměť: odpovídající parametrům pro plné využití procesoru a rychlý přenos dat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-art)</w:t>
            </w:r>
          </w:p>
          <w:p w14:paraId="6270C0AA" w14:textId="7016A10E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Datové úložiště: vysokorychlostní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RAID pro rychlý záznam a stahování dat, celková kapacita úložiště &gt; 1</w:t>
            </w:r>
            <w:r w:rsidR="00F9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TB</w:t>
            </w:r>
          </w:p>
          <w:p w14:paraId="1A9C2F40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Periferní zařízení: klávesnice a myš</w:t>
            </w:r>
          </w:p>
          <w:p w14:paraId="74CD61FE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Operační systém: kompatibilní se systémem univerzity UJEP</w:t>
            </w:r>
          </w:p>
          <w:p w14:paraId="063552E0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Monitor: 27″ s rozlišením 4K</w:t>
            </w:r>
          </w:p>
        </w:tc>
      </w:tr>
      <w:tr w:rsidR="00A04DF7" w14:paraId="60CD8811" w14:textId="77777777">
        <w:tc>
          <w:tcPr>
            <w:tcW w:w="2996" w:type="dxa"/>
          </w:tcPr>
          <w:p w14:paraId="43B81BA9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Řídicí a vyhodnocovací software (SW)</w:t>
            </w:r>
          </w:p>
        </w:tc>
        <w:tc>
          <w:tcPr>
            <w:tcW w:w="5718" w:type="dxa"/>
          </w:tcPr>
          <w:p w14:paraId="090A077A" w14:textId="77777777" w:rsidR="00A04DF7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Software s trvalými licencemi (SW) nutný k provozu zařízení, měření, sběru a vyhodnocení dat. SW musí umožňovat využívat systém pro 2D i 3D PIV měření, stínovou vizualizaci a měření (BOS techniku nebo ekvivalentní) včetně tomografické varianty a měření a vyhodnocení 2D a 3D deformace objektů s vyhodnocením napjatosti. SW moduly musí umožňovat import obrazových dat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bmp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dalších) a export dat v textových formátech</w:t>
            </w:r>
          </w:p>
        </w:tc>
      </w:tr>
      <w:tr w:rsidR="00A04DF7" w14:paraId="2414E125" w14:textId="77777777">
        <w:tc>
          <w:tcPr>
            <w:tcW w:w="2996" w:type="dxa"/>
          </w:tcPr>
          <w:p w14:paraId="47E9EF95" w14:textId="6D01F3B7" w:rsidR="00A04DF7" w:rsidRDefault="005B7159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Příslušenství</w:t>
            </w:r>
            <w:r w:rsidR="00602E86">
              <w:rPr>
                <w:b/>
                <w:color w:val="000000"/>
                <w:sz w:val="24"/>
                <w:szCs w:val="24"/>
              </w:rPr>
              <w:t xml:space="preserve"> pro stínovou techniku (BOS nebo ekvivalentní)</w:t>
            </w:r>
          </w:p>
        </w:tc>
        <w:tc>
          <w:tcPr>
            <w:tcW w:w="5718" w:type="dxa"/>
          </w:tcPr>
          <w:p w14:paraId="7499072F" w14:textId="6B849DDB" w:rsidR="00A04DF7" w:rsidRPr="00DE0998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bookmarkStart w:id="1" w:name="_heading=h.co0btdf5v8l" w:colFirst="0" w:colLast="0"/>
            <w:bookmarkEnd w:id="1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Upevňovací systém nutný k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upevnění </w:t>
            </w:r>
            <w:proofErr w:type="gramStart"/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 3</w:t>
            </w:r>
            <w:proofErr w:type="gram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-osému 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pozicování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minimálně 4 kamer</w:t>
            </w:r>
          </w:p>
          <w:p w14:paraId="2989BC98" w14:textId="77777777" w:rsidR="00A04DF7" w:rsidRPr="00DE0998" w:rsidRDefault="00A04DF7" w:rsidP="00DE099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4DF7" w14:paraId="74451D45" w14:textId="77777777">
        <w:tc>
          <w:tcPr>
            <w:tcW w:w="2996" w:type="dxa"/>
          </w:tcPr>
          <w:p w14:paraId="500E1EAF" w14:textId="77777777" w:rsidR="00A04DF7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Příslušenství pro PIV</w:t>
            </w:r>
          </w:p>
        </w:tc>
        <w:tc>
          <w:tcPr>
            <w:tcW w:w="5718" w:type="dxa"/>
          </w:tcPr>
          <w:p w14:paraId="48BBFC09" w14:textId="11AB1656" w:rsidR="00A04DF7" w:rsidRPr="00DE0998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Sada min 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různých 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kalibračních terčíků </w:t>
            </w:r>
          </w:p>
          <w:p w14:paraId="6EC0C4A7" w14:textId="77777777" w:rsidR="00A04DF7" w:rsidRPr="00DE0998" w:rsidRDefault="00602E8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Digitální 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frame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grabber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(snímací karta pro vysokorychlostní přenos obrazu optickými vlákny) s možností připojit min. 4 kamery</w:t>
            </w:r>
          </w:p>
        </w:tc>
      </w:tr>
      <w:tr w:rsidR="00A04DF7" w14:paraId="1495B9BD" w14:textId="77777777">
        <w:tc>
          <w:tcPr>
            <w:tcW w:w="2996" w:type="dxa"/>
          </w:tcPr>
          <w:p w14:paraId="1A80E1C5" w14:textId="77777777" w:rsidR="00A04DF7" w:rsidRPr="00DE0998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 w:rsidRPr="00DE0998">
              <w:rPr>
                <w:b/>
                <w:sz w:val="24"/>
                <w:szCs w:val="24"/>
              </w:rPr>
              <w:t>Laser</w:t>
            </w:r>
          </w:p>
        </w:tc>
        <w:tc>
          <w:tcPr>
            <w:tcW w:w="5718" w:type="dxa"/>
          </w:tcPr>
          <w:p w14:paraId="5D62063A" w14:textId="00671C89" w:rsidR="0001235A" w:rsidRPr="00DE0998" w:rsidRDefault="00D707F5" w:rsidP="00506D1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Dvojpulzní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laser s vlnovou délkou 532 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nm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Opakovací frekvence: 2 x </w:t>
            </w:r>
            <w:r w:rsidR="00DE0998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 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Hz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Minimální pulzní energie: 2 x 1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mJ</w:t>
            </w:r>
            <w:proofErr w:type="spellEnd"/>
            <w:r w:rsidR="0001235A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Stabilita energie (</w:t>
            </w:r>
            <w:proofErr w:type="spellStart"/>
            <w:r w:rsidR="0001235A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rms</w:t>
            </w:r>
            <w:proofErr w:type="spellEnd"/>
            <w:r w:rsidR="0001235A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&lt; 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1235A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,8%</w:t>
            </w:r>
            <w:r w:rsidR="0001235A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Stabilita bodu paprsku: &lt; ± 30 µrad</w:t>
            </w:r>
          </w:p>
        </w:tc>
      </w:tr>
      <w:tr w:rsidR="00A04DF7" w14:paraId="5BA0A8B2" w14:textId="77777777">
        <w:tc>
          <w:tcPr>
            <w:tcW w:w="2996" w:type="dxa"/>
          </w:tcPr>
          <w:p w14:paraId="4F0332E5" w14:textId="77777777" w:rsidR="00A04DF7" w:rsidRPr="00DE0998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 w:rsidRPr="00DE0998">
              <w:rPr>
                <w:b/>
                <w:sz w:val="24"/>
                <w:szCs w:val="24"/>
              </w:rPr>
              <w:t>Long distance mikroskop</w:t>
            </w:r>
          </w:p>
        </w:tc>
        <w:tc>
          <w:tcPr>
            <w:tcW w:w="5718" w:type="dxa"/>
          </w:tcPr>
          <w:p w14:paraId="538620AF" w14:textId="5BB8E53C" w:rsidR="005F0A04" w:rsidRPr="00DE0998" w:rsidRDefault="005F0A04" w:rsidP="00506D1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Objektiv se zvětšením 0.5 s připojením 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mount</w:t>
            </w:r>
            <w:proofErr w:type="spellEnd"/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, pracovní vzdálenost: typicky 650 mm (variabilní), nastavitelná clona, předsádka k objektivu</w:t>
            </w:r>
          </w:p>
        </w:tc>
      </w:tr>
      <w:tr w:rsidR="00F67F45" w14:paraId="72110171" w14:textId="77777777">
        <w:tc>
          <w:tcPr>
            <w:tcW w:w="2996" w:type="dxa"/>
          </w:tcPr>
          <w:p w14:paraId="50CF58F1" w14:textId="21CEB031" w:rsidR="00F67F45" w:rsidRPr="00DE0998" w:rsidRDefault="00F67F45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 w:rsidRPr="00DE0998">
              <w:rPr>
                <w:b/>
                <w:sz w:val="24"/>
                <w:szCs w:val="24"/>
              </w:rPr>
              <w:t>Osvětlení pro BOS</w:t>
            </w:r>
          </w:p>
        </w:tc>
        <w:tc>
          <w:tcPr>
            <w:tcW w:w="5718" w:type="dxa"/>
          </w:tcPr>
          <w:p w14:paraId="1596A0FC" w14:textId="0463AA56" w:rsidR="00F67F45" w:rsidRPr="00DE0998" w:rsidRDefault="00F67F45" w:rsidP="00F67F45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Vysoko výkonný LED reflektor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Výkon min. 120 W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Kontinuální i pulzní </w:t>
            </w:r>
            <w:r w:rsidR="00E948EF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režim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Minimální délka pulzů 2 µs nebo kratší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948EF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Opakovací</w:t>
            </w: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frekvence až 100 kHz</w:t>
            </w:r>
          </w:p>
          <w:p w14:paraId="3D9401AC" w14:textId="56F006E9" w:rsidR="00F67F45" w:rsidRPr="00DE0998" w:rsidRDefault="00F67F45" w:rsidP="00F67F45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Počet kusů: 4</w:t>
            </w:r>
          </w:p>
        </w:tc>
      </w:tr>
      <w:tr w:rsidR="00F67F45" w14:paraId="5553FA62" w14:textId="77777777">
        <w:tc>
          <w:tcPr>
            <w:tcW w:w="2996" w:type="dxa"/>
          </w:tcPr>
          <w:p w14:paraId="7A53DA6A" w14:textId="13FB5E17" w:rsidR="00F67F45" w:rsidRPr="00DE0998" w:rsidRDefault="00E948EF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 w:rsidRPr="00DE0998">
              <w:rPr>
                <w:b/>
                <w:sz w:val="24"/>
                <w:szCs w:val="24"/>
              </w:rPr>
              <w:lastRenderedPageBreak/>
              <w:t>Difuzor</w:t>
            </w:r>
          </w:p>
        </w:tc>
        <w:tc>
          <w:tcPr>
            <w:tcW w:w="5718" w:type="dxa"/>
          </w:tcPr>
          <w:p w14:paraId="279BB05C" w14:textId="77777777" w:rsidR="00506D1A" w:rsidRDefault="00E948EF" w:rsidP="00506D1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Difuzor</w:t>
            </w:r>
            <w:r w:rsidR="00F67F45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 laserový paprsek pro </w:t>
            </w:r>
            <w:proofErr w:type="spellStart"/>
            <w:r w:rsidR="00F67F45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shadowgraphy</w:t>
            </w:r>
            <w:proofErr w:type="spellEnd"/>
            <w:r w:rsidR="00F67F45"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včetně připojovacích komponent. </w:t>
            </w:r>
          </w:p>
          <w:p w14:paraId="7DEF0306" w14:textId="1AC97631" w:rsidR="00D02E34" w:rsidRPr="00DE0998" w:rsidRDefault="00D02E34" w:rsidP="00506D1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>Průměr výstupu min. 120 mm</w:t>
            </w:r>
          </w:p>
        </w:tc>
      </w:tr>
      <w:tr w:rsidR="00A04DF7" w14:paraId="2D38BFAD" w14:textId="77777777">
        <w:tc>
          <w:tcPr>
            <w:tcW w:w="2996" w:type="dxa"/>
          </w:tcPr>
          <w:p w14:paraId="3D74ADAC" w14:textId="77777777" w:rsidR="00A04DF7" w:rsidRPr="00DE0998" w:rsidRDefault="00602E86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 w:rsidRPr="00DE0998">
              <w:rPr>
                <w:b/>
                <w:sz w:val="24"/>
                <w:szCs w:val="24"/>
              </w:rPr>
              <w:t>Instalace dodaného zařízení</w:t>
            </w:r>
          </w:p>
        </w:tc>
        <w:tc>
          <w:tcPr>
            <w:tcW w:w="5718" w:type="dxa"/>
          </w:tcPr>
          <w:p w14:paraId="403786BC" w14:textId="5E7B76FA" w:rsidR="00A04DF7" w:rsidRPr="00DE0998" w:rsidRDefault="00602E86" w:rsidP="00506D1A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21" w:hanging="283"/>
              <w:jc w:val="left"/>
            </w:pPr>
            <w:r w:rsidRPr="00DE0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Instalace dodaného zařízení, zkušební měření na místě </w:t>
            </w:r>
          </w:p>
        </w:tc>
      </w:tr>
      <w:tr w:rsidR="00506D1A" w14:paraId="46F94EF8" w14:textId="77777777">
        <w:tc>
          <w:tcPr>
            <w:tcW w:w="2996" w:type="dxa"/>
          </w:tcPr>
          <w:p w14:paraId="2B9267A9" w14:textId="3D33FB8D" w:rsidR="00506D1A" w:rsidRPr="00DE0998" w:rsidRDefault="00506D1A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Školení HW</w:t>
            </w:r>
          </w:p>
        </w:tc>
        <w:tc>
          <w:tcPr>
            <w:tcW w:w="5718" w:type="dxa"/>
          </w:tcPr>
          <w:p w14:paraId="2A9F93E4" w14:textId="2F347742" w:rsidR="00506D1A" w:rsidRPr="00DE0998" w:rsidRDefault="00506D1A" w:rsidP="00506D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 w:rsidRP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kolení ovládání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hardwarových komponent systému </w:t>
            </w:r>
            <w:r w:rsidRP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v místě instalace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min. 2 dny pro min. 2 osoby</w:t>
            </w:r>
          </w:p>
        </w:tc>
      </w:tr>
      <w:tr w:rsidR="00506D1A" w14:paraId="05921D26" w14:textId="77777777">
        <w:tc>
          <w:tcPr>
            <w:tcW w:w="2996" w:type="dxa"/>
          </w:tcPr>
          <w:p w14:paraId="67EEF047" w14:textId="4210567A" w:rsidR="00506D1A" w:rsidRPr="00DE0998" w:rsidRDefault="00506D1A" w:rsidP="00506D1A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Školení SW</w:t>
            </w:r>
          </w:p>
        </w:tc>
        <w:tc>
          <w:tcPr>
            <w:tcW w:w="5718" w:type="dxa"/>
          </w:tcPr>
          <w:p w14:paraId="5484CBFA" w14:textId="1B61D951" w:rsidR="00506D1A" w:rsidRPr="00DE0998" w:rsidRDefault="00506D1A" w:rsidP="00506D1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 w:rsidRP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kolení ovládání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řídicího SW systému </w:t>
            </w:r>
            <w:r w:rsidRPr="00506D1A">
              <w:rPr>
                <w:rFonts w:ascii="Times New Roman" w:eastAsia="Times New Roman" w:hAnsi="Times New Roman" w:cs="Times New Roman"/>
                <w:sz w:val="24"/>
                <w:szCs w:val="24"/>
              </w:rPr>
              <w:t>v místě instalace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min. 4 dny pro min. 2 osoby</w:t>
            </w:r>
          </w:p>
        </w:tc>
      </w:tr>
    </w:tbl>
    <w:p w14:paraId="751E2078" w14:textId="77777777" w:rsidR="00A04DF7" w:rsidRDefault="00A04DF7">
      <w:pPr>
        <w:widowControl/>
        <w:spacing w:after="0"/>
        <w:ind w:left="708" w:hanging="708"/>
        <w:rPr>
          <w:b/>
          <w:sz w:val="24"/>
          <w:szCs w:val="24"/>
          <w:u w:val="single"/>
        </w:rPr>
      </w:pPr>
    </w:p>
    <w:sectPr w:rsidR="00A04DF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88FB94B" w16cex:dateUtc="2025-10-14T12:51:00Z"/>
  <w16cex:commentExtensible w16cex:durableId="2A0C56F5" w16cex:dateUtc="2025-10-14T12:5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A0680090-E006-42E0-90F1-CA0AE43F48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8433E43-18E2-47B6-95B2-18B9F8EC2E04}"/>
    <w:embedBold r:id="rId3" w:fontKey="{4D6A3DEC-8615-4F25-BCAC-5D0CBD9F4E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46F0EBA-B38D-4448-8823-7DAB0FFFEA7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97478BE-54BF-425B-925C-6AF625A81E17}"/>
    <w:embedItalic r:id="rId6" w:fontKey="{4CB36874-8DE6-4569-AE87-8070F96DC15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E6B9961-E279-4453-8805-B2A0EB7B51DF}"/>
    <w:embedBold r:id="rId8" w:fontKey="{890C2809-6D05-43C8-851A-9A32906A24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7978480-8E3F-47D3-B965-81FD8A4D7B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80E59"/>
    <w:multiLevelType w:val="multilevel"/>
    <w:tmpl w:val="2A0C8032"/>
    <w:lvl w:ilvl="0">
      <w:start w:val="1"/>
      <w:numFmt w:val="decimal"/>
      <w:pStyle w:val="polozk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1A572E"/>
    <w:multiLevelType w:val="multilevel"/>
    <w:tmpl w:val="A67A3E5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8820E83"/>
    <w:multiLevelType w:val="multilevel"/>
    <w:tmpl w:val="7D70CA44"/>
    <w:lvl w:ilvl="0">
      <w:start w:val="1"/>
      <w:numFmt w:val="bullet"/>
      <w:lvlText w:val="●"/>
      <w:lvlJc w:val="left"/>
      <w:pPr>
        <w:ind w:left="12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F7"/>
    <w:rsid w:val="0001235A"/>
    <w:rsid w:val="000D1625"/>
    <w:rsid w:val="000D436B"/>
    <w:rsid w:val="003C58BA"/>
    <w:rsid w:val="00422C43"/>
    <w:rsid w:val="00506D1A"/>
    <w:rsid w:val="00574114"/>
    <w:rsid w:val="005B7159"/>
    <w:rsid w:val="005F0A04"/>
    <w:rsid w:val="00602E86"/>
    <w:rsid w:val="0078485B"/>
    <w:rsid w:val="00881D96"/>
    <w:rsid w:val="0095192E"/>
    <w:rsid w:val="00997CD1"/>
    <w:rsid w:val="00A04DF7"/>
    <w:rsid w:val="00D02E34"/>
    <w:rsid w:val="00D05EB8"/>
    <w:rsid w:val="00D707F5"/>
    <w:rsid w:val="00DE0998"/>
    <w:rsid w:val="00E81514"/>
    <w:rsid w:val="00E948EF"/>
    <w:rsid w:val="00EC05BD"/>
    <w:rsid w:val="00F67F45"/>
    <w:rsid w:val="00F9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916E4"/>
  <w15:docId w15:val="{E0D02E00-4926-4722-A134-61B5F0A9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widowControl w:val="0"/>
        <w:spacing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Odstavecseseznamem">
    <w:name w:val="List Paragraph"/>
    <w:uiPriority w:val="99"/>
    <w:qFormat/>
    <w:rsid w:val="00154C00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6B6DEF"/>
    <w:rPr>
      <w:rFonts w:cs="Times New Roman"/>
      <w:color w:val="0000FF"/>
      <w:u w:val="single"/>
    </w:rPr>
  </w:style>
  <w:style w:type="paragraph" w:styleId="Textbubliny">
    <w:name w:val="Balloon Text"/>
    <w:link w:val="TextbublinyChar"/>
    <w:uiPriority w:val="99"/>
    <w:semiHidden/>
    <w:unhideWhenUsed/>
    <w:rsid w:val="001D2F9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F96"/>
    <w:rPr>
      <w:rFonts w:ascii="Segoe UI" w:hAnsi="Segoe UI" w:cs="Segoe UI"/>
      <w:color w:val="000000"/>
      <w:sz w:val="18"/>
      <w:szCs w:val="18"/>
      <w:lang w:val="cs" w:eastAsia="cs-CZ"/>
    </w:rPr>
  </w:style>
  <w:style w:type="paragraph" w:styleId="Zhlav">
    <w:name w:val="header"/>
    <w:link w:val="ZhlavChar"/>
    <w:uiPriority w:val="99"/>
    <w:unhideWhenUsed/>
    <w:rsid w:val="007E549F"/>
    <w:pPr>
      <w:tabs>
        <w:tab w:val="center" w:pos="4513"/>
        <w:tab w:val="right" w:pos="9026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E549F"/>
    <w:rPr>
      <w:rFonts w:cs="Calibri"/>
      <w:color w:val="000000"/>
      <w:lang w:val="cs" w:eastAsia="cs-CZ"/>
    </w:rPr>
  </w:style>
  <w:style w:type="paragraph" w:styleId="Zpat">
    <w:name w:val="footer"/>
    <w:link w:val="ZpatChar"/>
    <w:uiPriority w:val="99"/>
    <w:unhideWhenUsed/>
    <w:rsid w:val="007E549F"/>
    <w:pPr>
      <w:tabs>
        <w:tab w:val="center" w:pos="4513"/>
        <w:tab w:val="right" w:pos="9026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E549F"/>
    <w:rPr>
      <w:rFonts w:cs="Calibri"/>
      <w:color w:val="000000"/>
      <w:lang w:val="cs" w:eastAsia="cs-CZ"/>
    </w:rPr>
  </w:style>
  <w:style w:type="table" w:styleId="Mkatabulky">
    <w:name w:val="Table Grid"/>
    <w:basedOn w:val="Normlntabulka"/>
    <w:locked/>
    <w:rsid w:val="00011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lozka1">
    <w:name w:val="polozka1"/>
    <w:basedOn w:val="Odstavecseseznamem"/>
    <w:qFormat/>
    <w:rsid w:val="00563DB2"/>
    <w:pPr>
      <w:widowControl/>
      <w:numPr>
        <w:numId w:val="3"/>
      </w:numPr>
      <w:spacing w:after="0"/>
      <w:jc w:val="left"/>
    </w:pPr>
    <w:rPr>
      <w:b/>
      <w:sz w:val="24"/>
      <w:szCs w:val="24"/>
    </w:rPr>
  </w:style>
  <w:style w:type="paragraph" w:customStyle="1" w:styleId="polozka2">
    <w:name w:val="polozka2"/>
    <w:basedOn w:val="Odstavecseseznamem"/>
    <w:qFormat/>
    <w:rsid w:val="00563DB2"/>
    <w:pPr>
      <w:widowControl/>
      <w:spacing w:after="0"/>
      <w:ind w:left="0"/>
      <w:jc w:val="left"/>
    </w:pPr>
    <w:rPr>
      <w:b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81ADD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981AD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81ADD"/>
    <w:rPr>
      <w:rFonts w:cs="Calibri"/>
      <w:color w:val="000000"/>
      <w:sz w:val="20"/>
      <w:szCs w:val="20"/>
      <w:lang w:val="cs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1A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1ADD"/>
    <w:rPr>
      <w:rFonts w:cs="Calibri"/>
      <w:b/>
      <w:bCs/>
      <w:color w:val="000000"/>
      <w:sz w:val="20"/>
      <w:szCs w:val="20"/>
      <w:lang w:val="cs" w:eastAsia="cs-CZ"/>
    </w:rPr>
  </w:style>
  <w:style w:type="paragraph" w:styleId="Revize">
    <w:name w:val="Revision"/>
    <w:hidden/>
    <w:uiPriority w:val="99"/>
    <w:semiHidden/>
    <w:rsid w:val="00981ADD"/>
    <w:rPr>
      <w:color w:val="000000"/>
    </w:rPr>
  </w:style>
  <w:style w:type="paragraph" w:styleId="Normlnweb">
    <w:name w:val="Normal (Web)"/>
    <w:uiPriority w:val="99"/>
    <w:unhideWhenUsed/>
    <w:rsid w:val="00F049F6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locked/>
    <w:rsid w:val="00B431A9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7FXS5bot1Lvv4Uj/t602eTboMw==">CgMxLjAyDWguY28wYnRkZjV2OGw4AHIhMWVrOVJsd25YOUtEVTlKSXg5dEJ6aGpaVWpJNHFqNHlX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suchal</dc:creator>
  <cp:lastModifiedBy>Jan Novotný doc.</cp:lastModifiedBy>
  <cp:revision>2</cp:revision>
  <dcterms:created xsi:type="dcterms:W3CDTF">2026-03-18T11:49:00Z</dcterms:created>
  <dcterms:modified xsi:type="dcterms:W3CDTF">2026-03-18T11:49:00Z</dcterms:modified>
</cp:coreProperties>
</file>