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457C9BC0" w14:textId="4CA59E86" w:rsidR="00C9102B" w:rsidRDefault="00C9102B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C9102B">
        <w:rPr>
          <w:rFonts w:eastAsia="Calibri" w:cs="Arial"/>
          <w:b/>
          <w:bCs/>
          <w:sz w:val="22"/>
          <w:szCs w:val="28"/>
          <w:lang w:eastAsia="en-US"/>
        </w:rPr>
        <w:t xml:space="preserve">Aerodynamické váhy </w:t>
      </w:r>
      <w:r w:rsidR="0002431D">
        <w:rPr>
          <w:rFonts w:eastAsia="Calibri" w:cs="Arial"/>
          <w:b/>
          <w:bCs/>
          <w:sz w:val="22"/>
          <w:szCs w:val="28"/>
          <w:lang w:eastAsia="en-US"/>
        </w:rPr>
        <w:t xml:space="preserve">II </w:t>
      </w:r>
      <w:r w:rsidRPr="00C9102B">
        <w:rPr>
          <w:rFonts w:eastAsia="Calibri" w:cs="Arial"/>
          <w:b/>
          <w:bCs/>
          <w:sz w:val="22"/>
          <w:szCs w:val="28"/>
          <w:lang w:eastAsia="en-US"/>
        </w:rPr>
        <w:t>- 2025/01</w:t>
      </w:r>
      <w:r w:rsidR="0002431D">
        <w:rPr>
          <w:rFonts w:eastAsia="Calibri" w:cs="Arial"/>
          <w:b/>
          <w:bCs/>
          <w:sz w:val="22"/>
          <w:szCs w:val="28"/>
          <w:lang w:eastAsia="en-US"/>
        </w:rPr>
        <w:t>47</w:t>
      </w:r>
      <w:r w:rsidRPr="00C9102B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</w:p>
    <w:p w14:paraId="76820F50" w14:textId="4DC97AE6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849548" w14:textId="77777777" w:rsidR="00B641F2" w:rsidRDefault="004C22E9" w:rsidP="00B641F2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  <w:r w:rsidR="00B641F2">
        <w:rPr>
          <w:rFonts w:ascii="Arial" w:hAnsi="Arial" w:cs="Arial"/>
          <w:b/>
          <w:color w:val="00000A"/>
          <w:sz w:val="22"/>
          <w:szCs w:val="22"/>
        </w:rPr>
        <w:t xml:space="preserve">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7DC329F" w14:textId="77777777" w:rsidR="00B641F2" w:rsidRDefault="00B641F2" w:rsidP="00B641F2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0F624BE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2431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2431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FF1A" w14:textId="77777777" w:rsidR="00F90665" w:rsidRPr="00DD2850" w:rsidRDefault="00F90665" w:rsidP="00F90665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252156BF" wp14:editId="0B09B01C">
          <wp:extent cx="4951095" cy="41783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95" cy="41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31D"/>
    <w:rsid w:val="00046CA0"/>
    <w:rsid w:val="00092C78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F0EE2"/>
    <w:rsid w:val="006411D9"/>
    <w:rsid w:val="00690F50"/>
    <w:rsid w:val="007111C2"/>
    <w:rsid w:val="00867FA6"/>
    <w:rsid w:val="008B0116"/>
    <w:rsid w:val="00955451"/>
    <w:rsid w:val="009F78DF"/>
    <w:rsid w:val="00B641F2"/>
    <w:rsid w:val="00B8340C"/>
    <w:rsid w:val="00C53330"/>
    <w:rsid w:val="00C9102B"/>
    <w:rsid w:val="00D2603A"/>
    <w:rsid w:val="00D701E1"/>
    <w:rsid w:val="00DA6A77"/>
    <w:rsid w:val="00E25CC8"/>
    <w:rsid w:val="00F90665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paragraph" w:styleId="Bezmezer">
    <w:name w:val="No Spacing"/>
    <w:uiPriority w:val="99"/>
    <w:qFormat/>
    <w:rsid w:val="00F906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25</cp:revision>
  <dcterms:created xsi:type="dcterms:W3CDTF">2020-06-18T08:38:00Z</dcterms:created>
  <dcterms:modified xsi:type="dcterms:W3CDTF">2025-10-16T07:08:00Z</dcterms:modified>
</cp:coreProperties>
</file>