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1510E" w14:textId="44AE2FBA" w:rsidR="004C0E52" w:rsidRPr="0074162E" w:rsidRDefault="00725E6C">
      <w:pPr>
        <w:rPr>
          <w:b/>
          <w:bCs/>
        </w:rPr>
      </w:pPr>
      <w:r>
        <w:t xml:space="preserve">Příloha </w:t>
      </w:r>
      <w:r w:rsidR="0074162E">
        <w:t>6. k zadávací dokumentaci</w:t>
      </w:r>
      <w:r>
        <w:t xml:space="preserve"> </w:t>
      </w:r>
      <w:r w:rsidRPr="0074162E">
        <w:rPr>
          <w:b/>
          <w:bCs/>
        </w:rPr>
        <w:t>„Minimální parametry</w:t>
      </w:r>
      <w:r w:rsidR="004355FC" w:rsidRPr="0074162E">
        <w:rPr>
          <w:b/>
          <w:bCs/>
        </w:rPr>
        <w:t xml:space="preserve"> díla</w:t>
      </w:r>
      <w:r w:rsidRPr="0074162E">
        <w:rPr>
          <w:b/>
          <w:bCs/>
        </w:rPr>
        <w:t>“</w:t>
      </w:r>
    </w:p>
    <w:p w14:paraId="7CCBFFAF" w14:textId="69A1CF86" w:rsidR="009A45F8" w:rsidRPr="00EF0996" w:rsidRDefault="00EF0996" w:rsidP="00EF0996">
      <w:pPr>
        <w:spacing w:after="0" w:line="240" w:lineRule="auto"/>
        <w:jc w:val="both"/>
        <w:rPr>
          <w:rFonts w:cs="Arial"/>
          <w:color w:val="000000" w:themeColor="text1"/>
          <w:u w:val="single"/>
        </w:rPr>
      </w:pPr>
      <w:r w:rsidRPr="00EF0996">
        <w:rPr>
          <w:rFonts w:cs="Arial"/>
          <w:color w:val="000000" w:themeColor="text1"/>
          <w:u w:val="single"/>
        </w:rPr>
        <w:t>Minimální standardy jsou specifikovány v příloze č. 1</w:t>
      </w:r>
      <w:r w:rsidR="00ED2818">
        <w:rPr>
          <w:rFonts w:cs="Arial"/>
          <w:color w:val="000000" w:themeColor="text1"/>
          <w:u w:val="single"/>
        </w:rPr>
        <w:t>a</w:t>
      </w:r>
      <w:r w:rsidRPr="00EF0996">
        <w:rPr>
          <w:rFonts w:cs="Arial"/>
          <w:color w:val="000000" w:themeColor="text1"/>
          <w:u w:val="single"/>
        </w:rPr>
        <w:t xml:space="preserve"> smlouvy o dílo. Nad tento rámec jsou stanoveny následující další minimální parametry:</w:t>
      </w:r>
    </w:p>
    <w:p w14:paraId="6B84C1B2" w14:textId="77777777" w:rsidR="00EF0996" w:rsidRDefault="00EF0996" w:rsidP="0074162E">
      <w:pPr>
        <w:pStyle w:val="Odstavecseseznamem"/>
        <w:spacing w:after="0" w:line="240" w:lineRule="auto"/>
        <w:contextualSpacing w:val="0"/>
        <w:jc w:val="both"/>
        <w:rPr>
          <w:rFonts w:cs="Arial"/>
          <w:color w:val="000000" w:themeColor="text1"/>
        </w:rPr>
      </w:pPr>
    </w:p>
    <w:p w14:paraId="27C904F2" w14:textId="77777777" w:rsidR="0074162E" w:rsidRPr="00E1319A" w:rsidRDefault="0074162E" w:rsidP="0074162E">
      <w:pPr>
        <w:pStyle w:val="Odstavecseseznamem"/>
        <w:spacing w:after="0" w:line="240" w:lineRule="auto"/>
        <w:contextualSpacing w:val="0"/>
        <w:jc w:val="both"/>
        <w:rPr>
          <w:rFonts w:cs="Arial"/>
          <w:color w:val="000000" w:themeColor="text1"/>
        </w:rPr>
      </w:pPr>
      <w:r w:rsidRPr="00E1319A">
        <w:rPr>
          <w:rFonts w:cs="Arial"/>
          <w:color w:val="000000" w:themeColor="text1"/>
        </w:rPr>
        <w:t>• kapacita výukové místnosti (vnitřní a venkovní) 20 osob + 20 osob</w:t>
      </w:r>
    </w:p>
    <w:p w14:paraId="65CF7F78" w14:textId="77777777" w:rsidR="0074162E" w:rsidRPr="00E1319A" w:rsidRDefault="0074162E" w:rsidP="0074162E">
      <w:pPr>
        <w:ind w:left="851" w:hanging="142"/>
        <w:rPr>
          <w:rFonts w:cs="Arial"/>
          <w:color w:val="000000" w:themeColor="text1"/>
        </w:rPr>
      </w:pPr>
      <w:r w:rsidRPr="00E1319A">
        <w:rPr>
          <w:rFonts w:cs="Arial"/>
          <w:color w:val="000000" w:themeColor="text1"/>
        </w:rPr>
        <w:t>•</w:t>
      </w:r>
      <w:r w:rsidRPr="00E1319A">
        <w:rPr>
          <w:rFonts w:cs="Arial"/>
          <w:color w:val="000000" w:themeColor="text1"/>
        </w:rPr>
        <w:tab/>
        <w:t>místnost Expozice</w:t>
      </w:r>
    </w:p>
    <w:p w14:paraId="645A0A57" w14:textId="77777777" w:rsidR="0074162E" w:rsidRPr="00E1319A" w:rsidRDefault="0074162E" w:rsidP="0074162E">
      <w:pPr>
        <w:ind w:left="851" w:hanging="142"/>
        <w:rPr>
          <w:rFonts w:cs="Arial"/>
          <w:color w:val="000000" w:themeColor="text1"/>
        </w:rPr>
      </w:pPr>
      <w:r w:rsidRPr="00E1319A">
        <w:rPr>
          <w:rFonts w:cs="Arial"/>
          <w:color w:val="000000" w:themeColor="text1"/>
        </w:rPr>
        <w:t>•</w:t>
      </w:r>
      <w:r w:rsidRPr="00E1319A">
        <w:rPr>
          <w:rFonts w:cs="Arial"/>
          <w:color w:val="000000" w:themeColor="text1"/>
        </w:rPr>
        <w:tab/>
        <w:t>kancelář pro vedoucího zaměstnance,</w:t>
      </w:r>
    </w:p>
    <w:p w14:paraId="6D4B8D16" w14:textId="77777777" w:rsidR="0074162E" w:rsidRPr="00E1319A" w:rsidRDefault="0074162E" w:rsidP="0074162E">
      <w:pPr>
        <w:ind w:left="851" w:hanging="142"/>
        <w:rPr>
          <w:rFonts w:cs="Arial"/>
          <w:color w:val="000000" w:themeColor="text1"/>
        </w:rPr>
      </w:pPr>
      <w:r w:rsidRPr="00E1319A">
        <w:rPr>
          <w:rFonts w:cs="Arial"/>
          <w:color w:val="000000" w:themeColor="text1"/>
        </w:rPr>
        <w:t>•</w:t>
      </w:r>
      <w:r w:rsidRPr="00E1319A">
        <w:rPr>
          <w:rFonts w:cs="Arial"/>
          <w:color w:val="000000" w:themeColor="text1"/>
        </w:rPr>
        <w:tab/>
        <w:t>kancelář pro 2 pracovníky</w:t>
      </w:r>
    </w:p>
    <w:p w14:paraId="06706AE6" w14:textId="77777777" w:rsidR="0074162E" w:rsidRPr="00E1319A" w:rsidRDefault="0074162E" w:rsidP="0074162E">
      <w:pPr>
        <w:ind w:left="851" w:hanging="142"/>
        <w:rPr>
          <w:rFonts w:cs="Arial"/>
          <w:color w:val="000000" w:themeColor="text1"/>
        </w:rPr>
      </w:pPr>
      <w:r w:rsidRPr="00E1319A">
        <w:rPr>
          <w:rFonts w:cs="Arial"/>
          <w:color w:val="000000" w:themeColor="text1"/>
        </w:rPr>
        <w:t>•</w:t>
      </w:r>
      <w:r w:rsidRPr="00E1319A">
        <w:rPr>
          <w:rFonts w:cs="Arial"/>
          <w:color w:val="000000" w:themeColor="text1"/>
        </w:rPr>
        <w:tab/>
        <w:t>zázemí: kuchyňka, šatna, sklad</w:t>
      </w:r>
    </w:p>
    <w:p w14:paraId="21C1AE3B" w14:textId="77777777" w:rsidR="0074162E" w:rsidRPr="00E1319A" w:rsidRDefault="0074162E" w:rsidP="0074162E">
      <w:pPr>
        <w:ind w:left="851" w:hanging="142"/>
        <w:rPr>
          <w:rFonts w:cs="Arial"/>
          <w:color w:val="000000" w:themeColor="text1"/>
        </w:rPr>
      </w:pPr>
      <w:r w:rsidRPr="00E1319A">
        <w:rPr>
          <w:rFonts w:cs="Arial"/>
          <w:color w:val="000000" w:themeColor="text1"/>
        </w:rPr>
        <w:t>•</w:t>
      </w:r>
      <w:r w:rsidRPr="00E1319A">
        <w:rPr>
          <w:rFonts w:cs="Arial"/>
          <w:color w:val="000000" w:themeColor="text1"/>
        </w:rPr>
        <w:tab/>
        <w:t>venkovní výukový prostor pro 20 osob (areál PF)</w:t>
      </w:r>
    </w:p>
    <w:p w14:paraId="1E45DB83" w14:textId="77777777" w:rsidR="0074162E" w:rsidRPr="00E1319A" w:rsidRDefault="0074162E" w:rsidP="0074162E">
      <w:pPr>
        <w:ind w:left="851" w:hanging="142"/>
        <w:rPr>
          <w:rFonts w:cs="Arial"/>
          <w:color w:val="000000" w:themeColor="text1"/>
        </w:rPr>
      </w:pPr>
      <w:r w:rsidRPr="00E1319A">
        <w:rPr>
          <w:rFonts w:cs="Arial"/>
          <w:color w:val="000000" w:themeColor="text1"/>
        </w:rPr>
        <w:t>•</w:t>
      </w:r>
      <w:r w:rsidRPr="00E1319A">
        <w:rPr>
          <w:rFonts w:cs="Arial"/>
          <w:color w:val="000000" w:themeColor="text1"/>
        </w:rPr>
        <w:tab/>
        <w:t xml:space="preserve">technologické prostory s umožněním výuky </w:t>
      </w:r>
    </w:p>
    <w:p w14:paraId="7902EE67" w14:textId="77777777" w:rsidR="0074162E" w:rsidRPr="00E1319A" w:rsidRDefault="0074162E" w:rsidP="0074162E">
      <w:pPr>
        <w:ind w:left="851" w:hanging="142"/>
        <w:rPr>
          <w:rFonts w:cs="Arial"/>
          <w:color w:val="000000" w:themeColor="text1"/>
        </w:rPr>
      </w:pPr>
      <w:r w:rsidRPr="00E1319A">
        <w:rPr>
          <w:rFonts w:cs="Arial"/>
          <w:color w:val="000000" w:themeColor="text1"/>
        </w:rPr>
        <w:t>•</w:t>
      </w:r>
      <w:r w:rsidRPr="00E1319A">
        <w:rPr>
          <w:rFonts w:cs="Arial"/>
          <w:color w:val="000000" w:themeColor="text1"/>
        </w:rPr>
        <w:tab/>
        <w:t>výukové jezírko s molem</w:t>
      </w:r>
    </w:p>
    <w:p w14:paraId="0080E001" w14:textId="22DCF1C5" w:rsidR="0074162E" w:rsidRPr="00E1319A" w:rsidRDefault="0074162E" w:rsidP="0074162E">
      <w:pPr>
        <w:ind w:left="851" w:hanging="142"/>
        <w:rPr>
          <w:rFonts w:cs="Arial"/>
          <w:color w:val="000000" w:themeColor="text1"/>
        </w:rPr>
      </w:pPr>
      <w:r w:rsidRPr="00E20F1C">
        <w:rPr>
          <w:rFonts w:cs="Arial"/>
          <w:color w:val="000000" w:themeColor="text1"/>
        </w:rPr>
        <w:t>•</w:t>
      </w:r>
      <w:r w:rsidRPr="00E20F1C">
        <w:rPr>
          <w:rFonts w:cs="Arial"/>
          <w:color w:val="000000" w:themeColor="text1"/>
        </w:rPr>
        <w:tab/>
        <w:t>výuková zahrada a sad</w:t>
      </w:r>
    </w:p>
    <w:p w14:paraId="6B1E4021" w14:textId="77777777" w:rsidR="0074162E" w:rsidRPr="00E1319A" w:rsidRDefault="0074162E" w:rsidP="0074162E">
      <w:pPr>
        <w:ind w:left="851" w:hanging="142"/>
        <w:rPr>
          <w:rFonts w:cs="Arial"/>
          <w:color w:val="000000" w:themeColor="text1"/>
        </w:rPr>
      </w:pPr>
      <w:r w:rsidRPr="00E1319A">
        <w:rPr>
          <w:rFonts w:cs="Arial"/>
          <w:color w:val="000000" w:themeColor="text1"/>
        </w:rPr>
        <w:t>•</w:t>
      </w:r>
      <w:r w:rsidRPr="00E1319A">
        <w:rPr>
          <w:rFonts w:cs="Arial"/>
          <w:color w:val="000000" w:themeColor="text1"/>
        </w:rPr>
        <w:tab/>
        <w:t>pochozí plochy</w:t>
      </w:r>
    </w:p>
    <w:p w14:paraId="028F33EB" w14:textId="77777777" w:rsidR="0074162E" w:rsidRPr="00E1319A" w:rsidRDefault="0074162E" w:rsidP="0074162E">
      <w:pPr>
        <w:ind w:left="851" w:hanging="142"/>
        <w:rPr>
          <w:rFonts w:cs="Arial"/>
          <w:color w:val="000000" w:themeColor="text1"/>
        </w:rPr>
      </w:pPr>
      <w:r w:rsidRPr="00E1319A">
        <w:rPr>
          <w:rFonts w:cs="Arial"/>
          <w:color w:val="000000" w:themeColor="text1"/>
        </w:rPr>
        <w:t>•</w:t>
      </w:r>
      <w:r w:rsidRPr="00E1319A">
        <w:rPr>
          <w:rFonts w:cs="Arial"/>
          <w:color w:val="000000" w:themeColor="text1"/>
        </w:rPr>
        <w:tab/>
        <w:t>parkoviště pro automobily (2) a kola (6) (hosté a zaměstnanci).</w:t>
      </w:r>
    </w:p>
    <w:p w14:paraId="529C81F3" w14:textId="77777777" w:rsidR="0074162E" w:rsidRDefault="0074162E"/>
    <w:p w14:paraId="08B0B607" w14:textId="77777777" w:rsidR="00C021F4" w:rsidRDefault="00725E6C" w:rsidP="00C021F4">
      <w:pPr>
        <w:numPr>
          <w:ilvl w:val="1"/>
          <w:numId w:val="1"/>
        </w:numPr>
      </w:pPr>
      <w:r w:rsidRPr="00725E6C">
        <w:t>Energetická náročnost budovy (ENB)</w:t>
      </w:r>
    </w:p>
    <w:p w14:paraId="493F750E" w14:textId="7E43EA61" w:rsidR="00725E6C" w:rsidRPr="00725E6C" w:rsidRDefault="00725E6C" w:rsidP="00C021F4">
      <w:pPr>
        <w:ind w:left="1440"/>
        <w:jc w:val="both"/>
      </w:pPr>
      <w:r w:rsidRPr="00725E6C">
        <w:t xml:space="preserve">Zadavatel požaduje zařazení budovy do třídy A podle průkazu energetické náročnosti budovy (PENB). </w:t>
      </w:r>
    </w:p>
    <w:p w14:paraId="1BC342BF" w14:textId="77777777" w:rsidR="00C021F4" w:rsidRDefault="00725E6C" w:rsidP="00725E6C">
      <w:pPr>
        <w:numPr>
          <w:ilvl w:val="1"/>
          <w:numId w:val="1"/>
        </w:numPr>
      </w:pPr>
      <w:r w:rsidRPr="00725E6C">
        <w:t>Měrná potřeba tepla na vytápění (PHPP)</w:t>
      </w:r>
    </w:p>
    <w:p w14:paraId="227A744D" w14:textId="2CE45734" w:rsidR="00725E6C" w:rsidRPr="00725E6C" w:rsidRDefault="00725E6C" w:rsidP="00A27191">
      <w:pPr>
        <w:ind w:left="1080"/>
      </w:pPr>
      <w:r w:rsidRPr="00725E6C">
        <w:t xml:space="preserve">Podle kritérií pasivního domu měrná potřeba tepla nesmí přesáhnout 15 kWh/m²/rok. Tento ukazatel se počítá dle nástroje PHPP a reflektuje reálnou energetickou bilanci. </w:t>
      </w:r>
    </w:p>
    <w:p w14:paraId="19D01D0D" w14:textId="77777777" w:rsidR="00C021F4" w:rsidRDefault="00725E6C" w:rsidP="00C021F4">
      <w:pPr>
        <w:numPr>
          <w:ilvl w:val="1"/>
          <w:numId w:val="1"/>
        </w:numPr>
      </w:pPr>
      <w:r w:rsidRPr="00725E6C">
        <w:t>Vzduchotěsnost obálky budovy (n₅₀)</w:t>
      </w:r>
    </w:p>
    <w:p w14:paraId="4ECC7C1F" w14:textId="5FF74CA5" w:rsidR="00725E6C" w:rsidRPr="00725E6C" w:rsidRDefault="00725E6C" w:rsidP="00C021F4">
      <w:pPr>
        <w:ind w:left="1440"/>
        <w:jc w:val="both"/>
      </w:pPr>
      <w:r w:rsidRPr="00725E6C">
        <w:t xml:space="preserve">Zadavatel požaduje výsledek </w:t>
      </w:r>
      <w:proofErr w:type="spellStart"/>
      <w:r w:rsidRPr="00725E6C">
        <w:t>blower</w:t>
      </w:r>
      <w:proofErr w:type="spellEnd"/>
      <w:r w:rsidRPr="00725E6C">
        <w:t xml:space="preserve"> </w:t>
      </w:r>
      <w:proofErr w:type="spellStart"/>
      <w:r w:rsidRPr="00725E6C">
        <w:t>door</w:t>
      </w:r>
      <w:proofErr w:type="spellEnd"/>
      <w:r w:rsidRPr="00725E6C">
        <w:t xml:space="preserve"> testu s hodnotou n₅₀ ≤ 0,6 h⁻¹.</w:t>
      </w:r>
    </w:p>
    <w:p w14:paraId="72352B71" w14:textId="77777777" w:rsidR="00C021F4" w:rsidRDefault="00725E6C" w:rsidP="00C021F4">
      <w:pPr>
        <w:numPr>
          <w:ilvl w:val="1"/>
          <w:numId w:val="1"/>
        </w:numPr>
      </w:pPr>
      <w:r w:rsidRPr="00725E6C">
        <w:t>Tepelněizolační vlastnosti konstrukcí</w:t>
      </w:r>
    </w:p>
    <w:p w14:paraId="15C29C69" w14:textId="7CD08BC7" w:rsidR="00725E6C" w:rsidRPr="00725E6C" w:rsidRDefault="00725E6C" w:rsidP="00C021F4">
      <w:pPr>
        <w:ind w:left="1440"/>
        <w:jc w:val="both"/>
      </w:pPr>
      <w:r w:rsidRPr="00725E6C">
        <w:t xml:space="preserve">Zadavatel požaduje hodnoty součinitele prostupu tepla (U) pro jednotlivé části obálky –  stěny ≤ 0,15 W/m²K, střecha ≤ 0,10 W/m²K, okna ≤ 0,80 W/m²K. </w:t>
      </w:r>
    </w:p>
    <w:p w14:paraId="7F0B5454" w14:textId="7C83017F" w:rsidR="00C021F4" w:rsidRDefault="00725E6C" w:rsidP="00725E6C">
      <w:pPr>
        <w:numPr>
          <w:ilvl w:val="1"/>
          <w:numId w:val="1"/>
        </w:numPr>
      </w:pPr>
      <w:r w:rsidRPr="00725E6C">
        <w:t>Využití obnovitelných zdrojů energie (OZE)</w:t>
      </w:r>
    </w:p>
    <w:p w14:paraId="65F7383E" w14:textId="6D43F1DB" w:rsidR="00725E6C" w:rsidRPr="00725E6C" w:rsidRDefault="00725E6C" w:rsidP="00C021F4">
      <w:pPr>
        <w:ind w:left="1440"/>
        <w:jc w:val="both"/>
      </w:pPr>
      <w:r w:rsidRPr="00725E6C">
        <w:t>Zadavatel požaduje instalaci fotovoltaického systému</w:t>
      </w:r>
      <w:r w:rsidR="00071E21">
        <w:t xml:space="preserve"> (FVE)</w:t>
      </w:r>
      <w:r w:rsidRPr="00725E6C">
        <w:t xml:space="preserve"> </w:t>
      </w:r>
      <w:r w:rsidR="00071E21">
        <w:t>a</w:t>
      </w:r>
      <w:r w:rsidR="00071E21">
        <w:rPr>
          <w:lang w:val="en-GB"/>
        </w:rPr>
        <w:t>/</w:t>
      </w:r>
      <w:r w:rsidRPr="00725E6C">
        <w:t>nebo tepelného čerpadla.</w:t>
      </w:r>
    </w:p>
    <w:p w14:paraId="7F7A8205" w14:textId="77777777" w:rsidR="00C021F4" w:rsidRDefault="00725E6C" w:rsidP="00725E6C">
      <w:pPr>
        <w:numPr>
          <w:ilvl w:val="1"/>
          <w:numId w:val="1"/>
        </w:numPr>
      </w:pPr>
      <w:r w:rsidRPr="00725E6C">
        <w:t>Využití denního osvětlení</w:t>
      </w:r>
    </w:p>
    <w:p w14:paraId="58358308" w14:textId="19DB0855" w:rsidR="00725E6C" w:rsidRPr="00725E6C" w:rsidRDefault="00725E6C" w:rsidP="00C021F4">
      <w:pPr>
        <w:ind w:left="1440"/>
        <w:jc w:val="both"/>
      </w:pPr>
      <w:r w:rsidRPr="00725E6C">
        <w:t xml:space="preserve">Zadavatel požaduje minimální činitel denní osvětlenosti (D) –  ≥ 2 % v hlavních pobytových místnostech. </w:t>
      </w:r>
    </w:p>
    <w:p w14:paraId="36A24CA9" w14:textId="0A6BD6AC" w:rsidR="00C021F4" w:rsidRDefault="00725E6C" w:rsidP="00725E6C">
      <w:pPr>
        <w:numPr>
          <w:ilvl w:val="1"/>
          <w:numId w:val="1"/>
        </w:numPr>
      </w:pPr>
      <w:r w:rsidRPr="00725E6C">
        <w:t xml:space="preserve">Vnitřní mikroklima a </w:t>
      </w:r>
      <w:r w:rsidR="0092321C">
        <w:t xml:space="preserve">systém </w:t>
      </w:r>
      <w:r w:rsidRPr="00725E6C">
        <w:t>řízené</w:t>
      </w:r>
      <w:r w:rsidR="0092321C">
        <w:t>ho</w:t>
      </w:r>
      <w:r w:rsidRPr="00725E6C">
        <w:t xml:space="preserve"> větrání</w:t>
      </w:r>
      <w:r w:rsidR="0092321C">
        <w:t xml:space="preserve"> </w:t>
      </w:r>
      <w:r w:rsidR="0092321C" w:rsidRPr="00AB009E">
        <w:t>(rekuperace) s</w:t>
      </w:r>
      <w:r w:rsidR="00C021F4">
        <w:t> </w:t>
      </w:r>
      <w:r w:rsidR="0092321C" w:rsidRPr="00AB009E">
        <w:t>regulací</w:t>
      </w:r>
    </w:p>
    <w:p w14:paraId="76F5FA4C" w14:textId="661729CC" w:rsidR="0092321C" w:rsidRDefault="0092321C" w:rsidP="00C021F4">
      <w:pPr>
        <w:ind w:left="1440"/>
        <w:jc w:val="both"/>
      </w:pPr>
      <w:r w:rsidRPr="0092321C">
        <w:lastRenderedPageBreak/>
        <w:t xml:space="preserve">Zadavatel požaduje instalaci automatického systému řízeného větrání s rekuperací tepla, který zajistí zdravé a komfortní vnitřní prostředí při minimálních tepelných ztrátách. Rekuperační jednotka musí mít účinnost alespoň 75 %. Systém musí být schopen regulace na základě kvality vnitřního vzduchu, zejména </w:t>
      </w:r>
      <w:proofErr w:type="gramStart"/>
      <w:r w:rsidRPr="0092321C">
        <w:t>koncentrace</w:t>
      </w:r>
      <w:proofErr w:type="gramEnd"/>
      <w:r w:rsidRPr="0092321C">
        <w:t xml:space="preserve"> CO₂ a vlhkosti, a umožnit energeticky úsporný provoz s přizpůsobením intenzity větrání aktuálním potřebám. Současně musí být umožněno manuální ovládání a přístup uživatele ke změnám nastavení. Stabilní vlhkost a teplota přispívají k dlouhodobé udržitelnosti a pohodlí obyvatel.</w:t>
      </w:r>
    </w:p>
    <w:p w14:paraId="46EDEDB0" w14:textId="77777777" w:rsidR="00C021F4" w:rsidRDefault="00725E6C" w:rsidP="00725E6C">
      <w:pPr>
        <w:numPr>
          <w:ilvl w:val="1"/>
          <w:numId w:val="1"/>
        </w:numPr>
      </w:pPr>
      <w:r>
        <w:t>S</w:t>
      </w:r>
      <w:r w:rsidRPr="00725E6C">
        <w:t>tavební materiály s nízkou ekologickou stopou</w:t>
      </w:r>
    </w:p>
    <w:p w14:paraId="0581AB2B" w14:textId="30C44D15" w:rsidR="00725E6C" w:rsidRDefault="00725E6C" w:rsidP="00C021F4">
      <w:pPr>
        <w:ind w:left="1440"/>
        <w:jc w:val="both"/>
      </w:pPr>
      <w:r w:rsidRPr="00725E6C">
        <w:t xml:space="preserve">Zadavatel požaduje použití materiálů s nízkou ekologickou stopou. </w:t>
      </w:r>
    </w:p>
    <w:p w14:paraId="1DF7A5C7" w14:textId="3D795F83" w:rsidR="000D46C0" w:rsidRDefault="005A55B6" w:rsidP="000D46C0">
      <w:pPr>
        <w:numPr>
          <w:ilvl w:val="1"/>
          <w:numId w:val="1"/>
        </w:numPr>
      </w:pPr>
      <w:r>
        <w:t>Z</w:t>
      </w:r>
      <w:r w:rsidRPr="005A55B6">
        <w:t xml:space="preserve">ařízení pro sledování </w:t>
      </w:r>
      <w:r w:rsidR="00AE550A">
        <w:t>toků</w:t>
      </w:r>
      <w:r w:rsidR="00AE550A" w:rsidRPr="005A55B6">
        <w:t xml:space="preserve"> </w:t>
      </w:r>
      <w:r w:rsidRPr="005A55B6">
        <w:t>elektrické energie, tepla a vody</w:t>
      </w:r>
    </w:p>
    <w:p w14:paraId="409F8B13" w14:textId="75CDF7CA" w:rsidR="005A55B6" w:rsidRDefault="005A55B6" w:rsidP="00C021F4">
      <w:pPr>
        <w:ind w:left="1440"/>
        <w:jc w:val="both"/>
      </w:pPr>
      <w:r w:rsidRPr="005A55B6">
        <w:t xml:space="preserve">Zadavatel požaduje instalaci měřicích zařízení pro sledování </w:t>
      </w:r>
      <w:r w:rsidR="00AE550A">
        <w:t xml:space="preserve">toků </w:t>
      </w:r>
      <w:r w:rsidRPr="005A55B6">
        <w:t>elektrické energie, tepla a vody v reálném čase. Měřidla musí být napojena na systém, který umožní přehledné zobrazení údajů pro uživatele v digitální podobě. Zároveň musí být umožněn export dat pro další vyhodnocování a správu provozu budovy.</w:t>
      </w:r>
    </w:p>
    <w:p w14:paraId="79A8066D" w14:textId="77777777" w:rsidR="00C021F4" w:rsidRDefault="00C021F4" w:rsidP="00C021F4">
      <w:pPr>
        <w:ind w:left="1440"/>
        <w:jc w:val="both"/>
      </w:pPr>
    </w:p>
    <w:p w14:paraId="43A73231" w14:textId="77777777" w:rsidR="001B3ABA" w:rsidRDefault="001B3ABA" w:rsidP="001B3ABA">
      <w:pPr>
        <w:numPr>
          <w:ilvl w:val="1"/>
          <w:numId w:val="1"/>
        </w:numPr>
      </w:pPr>
      <w:r>
        <w:t>P</w:t>
      </w:r>
      <w:r w:rsidRPr="001B3ABA">
        <w:t xml:space="preserve">lnění klíčových parametrů podle zásady DNSH (Do No </w:t>
      </w:r>
      <w:proofErr w:type="spellStart"/>
      <w:r w:rsidRPr="001B3ABA">
        <w:t>Significant</w:t>
      </w:r>
      <w:proofErr w:type="spellEnd"/>
      <w:r w:rsidRPr="001B3ABA">
        <w:t xml:space="preserve"> </w:t>
      </w:r>
      <w:proofErr w:type="spellStart"/>
      <w:r w:rsidRPr="001B3ABA">
        <w:t>Harm</w:t>
      </w:r>
      <w:proofErr w:type="spellEnd"/>
      <w:r w:rsidRPr="001B3ABA">
        <w:t>)</w:t>
      </w:r>
    </w:p>
    <w:p w14:paraId="003D56EC" w14:textId="33D890B7" w:rsidR="001B3ABA" w:rsidRPr="00725E6C" w:rsidRDefault="001B3ABA" w:rsidP="00C021F4">
      <w:pPr>
        <w:ind w:left="1440"/>
        <w:jc w:val="both"/>
      </w:pPr>
      <w:r w:rsidRPr="001B3ABA">
        <w:t xml:space="preserve">Zadavatel požaduje, aby návrh a realizace stavby </w:t>
      </w:r>
      <w:proofErr w:type="spellStart"/>
      <w:r w:rsidRPr="001B3ABA">
        <w:t>Envicentra</w:t>
      </w:r>
      <w:proofErr w:type="spellEnd"/>
      <w:r w:rsidRPr="001B3ABA">
        <w:t xml:space="preserve"> plně respektovaly zásady „Do No </w:t>
      </w:r>
      <w:proofErr w:type="spellStart"/>
      <w:r w:rsidRPr="001B3ABA">
        <w:t>Significant</w:t>
      </w:r>
      <w:proofErr w:type="spellEnd"/>
      <w:r w:rsidRPr="001B3ABA">
        <w:t xml:space="preserve"> </w:t>
      </w:r>
      <w:proofErr w:type="spellStart"/>
      <w:r w:rsidRPr="001B3ABA">
        <w:t>Harm</w:t>
      </w:r>
      <w:proofErr w:type="spellEnd"/>
      <w:r w:rsidRPr="001B3ABA">
        <w:t xml:space="preserve">“ (DNSH) dle čl. 17 nařízení (EU) 2020/852 (tzv. Taxonomie EU) ve všech šesti definovaných oblastech, včetně adaptace na změnu klimatu, ochrany biodiverzity, udržitelného hospodaření s vodou a přechodu na oběhové hospodářství. Projekt zároveň musí prokázat splnění principů významného nepoškozování environmentálních cílů dle části </w:t>
      </w:r>
      <w:r w:rsidRPr="00C021F4">
        <w:rPr>
          <w:b/>
        </w:rPr>
        <w:t>C.13</w:t>
      </w:r>
      <w:r>
        <w:t xml:space="preserve"> </w:t>
      </w:r>
      <w:r w:rsidR="00F47647">
        <w:t xml:space="preserve">platných </w:t>
      </w:r>
      <w:r w:rsidR="00F47647" w:rsidRPr="00F47647">
        <w:rPr>
          <w:b/>
          <w:bCs/>
        </w:rPr>
        <w:t>Pravid</w:t>
      </w:r>
      <w:r w:rsidR="00F47647">
        <w:rPr>
          <w:b/>
          <w:bCs/>
        </w:rPr>
        <w:t>el</w:t>
      </w:r>
      <w:r w:rsidR="00F47647" w:rsidRPr="00F47647">
        <w:rPr>
          <w:b/>
          <w:bCs/>
        </w:rPr>
        <w:t xml:space="preserve"> pro žadatele a příjemce podpory v Operačním programu Spravedlivá transformace 2021-2027</w:t>
      </w:r>
      <w:r w:rsidR="00F47647">
        <w:rPr>
          <w:b/>
          <w:bCs/>
        </w:rPr>
        <w:t xml:space="preserve"> </w:t>
      </w:r>
      <w:r w:rsidR="00F47647">
        <w:t xml:space="preserve">odkaz </w:t>
      </w:r>
      <w:hyperlink r:id="rId7" w:history="1">
        <w:r w:rsidR="00F47647" w:rsidRPr="00DA2291">
          <w:rPr>
            <w:rStyle w:val="Hypertextovodkaz"/>
          </w:rPr>
          <w:t>https://opst.cz/dokument/2996</w:t>
        </w:r>
      </w:hyperlink>
      <w:r w:rsidR="00F47647">
        <w:t xml:space="preserve"> (viz citace níže)</w:t>
      </w:r>
      <w:r w:rsidR="00067596">
        <w:t xml:space="preserve">, Zhotovitel přebírá plnění podmínek </w:t>
      </w:r>
      <w:r w:rsidR="00762613">
        <w:t xml:space="preserve">DNSH </w:t>
      </w:r>
      <w:r w:rsidR="00067596">
        <w:t>Příjemce</w:t>
      </w:r>
      <w:r w:rsidR="00482F01">
        <w:t xml:space="preserve">. </w:t>
      </w:r>
    </w:p>
    <w:p w14:paraId="6A16281B" w14:textId="77777777" w:rsidR="00C021F4" w:rsidRDefault="00C021F4" w:rsidP="00F47647">
      <w:pPr>
        <w:rPr>
          <w:b/>
          <w:bCs/>
        </w:rPr>
      </w:pPr>
    </w:p>
    <w:p w14:paraId="631A6A90" w14:textId="0C95BA0E" w:rsidR="00F47647" w:rsidRPr="00F47647" w:rsidRDefault="00F47647" w:rsidP="00F47647">
      <w:r w:rsidRPr="00F47647">
        <w:rPr>
          <w:b/>
          <w:bCs/>
        </w:rPr>
        <w:t xml:space="preserve">C.13 Princip významného nepoškozování environmentálních cílů </w:t>
      </w:r>
      <w:r w:rsidR="00C021F4">
        <w:rPr>
          <w:b/>
          <w:bCs/>
        </w:rPr>
        <w:t xml:space="preserve">dle </w:t>
      </w:r>
      <w:r w:rsidR="00C021F4" w:rsidRPr="00F47647">
        <w:rPr>
          <w:b/>
          <w:bCs/>
        </w:rPr>
        <w:t>Pravid</w:t>
      </w:r>
      <w:r w:rsidR="00C021F4">
        <w:rPr>
          <w:b/>
          <w:bCs/>
        </w:rPr>
        <w:t>el</w:t>
      </w:r>
      <w:r w:rsidR="00C021F4" w:rsidRPr="00F47647">
        <w:rPr>
          <w:b/>
          <w:bCs/>
        </w:rPr>
        <w:t xml:space="preserve"> pro žadatele a příjemce podpory v Operačním programu Spravedlivá transformace 2021-2027</w:t>
      </w:r>
    </w:p>
    <w:p w14:paraId="0777037D" w14:textId="77777777" w:rsidR="00F47647" w:rsidRPr="00F47647" w:rsidRDefault="00F47647" w:rsidP="00C021F4">
      <w:pPr>
        <w:jc w:val="both"/>
      </w:pPr>
      <w:r w:rsidRPr="00F47647">
        <w:t xml:space="preserve">Princip „do no </w:t>
      </w:r>
      <w:proofErr w:type="spellStart"/>
      <w:r w:rsidRPr="00F47647">
        <w:t>significant</w:t>
      </w:r>
      <w:proofErr w:type="spellEnd"/>
      <w:r w:rsidRPr="00F47647">
        <w:t xml:space="preserve"> </w:t>
      </w:r>
      <w:proofErr w:type="spellStart"/>
      <w:r w:rsidRPr="00F47647">
        <w:t>harm</w:t>
      </w:r>
      <w:proofErr w:type="spellEnd"/>
      <w:r w:rsidRPr="00F47647">
        <w:t xml:space="preserve">“ (dále jen DNSH) vychází z článku č. 17 nařízení Evropského parlamentu a Rady (EU) 2020/852 ze dne 18. června 2020 o zřízení rámce pro usnadnění udržitelných investic a o změně nařízení (EU) 2019/2088 a v rámci Operačního programu Spravedlivá transformace se uplatňuje na základě nařízení č. 2021/1060 (obecné nařízení). </w:t>
      </w:r>
    </w:p>
    <w:p w14:paraId="7E2C38BF" w14:textId="0EE854A0" w:rsidR="00F47647" w:rsidRPr="00F47647" w:rsidRDefault="00F47647" w:rsidP="00C021F4">
      <w:pPr>
        <w:jc w:val="both"/>
      </w:pPr>
      <w:r w:rsidRPr="00F47647">
        <w:t>Princip DNSH je z části naplňován dodržováním legislativních nároků českých zákonů (např. zákon č. 114/1992 Sb. o ochraně přírody a krajiny, č. 334/1992 Sb. o ochraně zemědělského půdního fondu, č. 183/2006 Sb. o územním plánování a stavebním řádu) jež je žadatel povinen dodržovat. Avšak s ohledem na důsledné zachování principu DNSH u všech výše zmíněných cílů, jsou v programu průřezově</w:t>
      </w:r>
      <w:r>
        <w:t xml:space="preserve"> </w:t>
      </w:r>
      <w:r w:rsidRPr="00F47647">
        <w:t xml:space="preserve">nastaveny i další specifické podmínky a kritéria, přičemž v případě zjištění nesouladu realizace projektu s podmínkami DNSH bude přistoupeno k finanční korekci dle sankčních podmínek stanovených právním aktem. </w:t>
      </w:r>
    </w:p>
    <w:p w14:paraId="0189FC9D" w14:textId="77777777" w:rsidR="00F47647" w:rsidRPr="00F47647" w:rsidRDefault="00F47647" w:rsidP="00F47647">
      <w:r w:rsidRPr="00F47647">
        <w:lastRenderedPageBreak/>
        <w:t xml:space="preserve">Žadatel je povinen zavázat se k plnění vybraných podmínek DNSH prostřednictvím: </w:t>
      </w:r>
    </w:p>
    <w:p w14:paraId="25ACC504" w14:textId="77777777" w:rsidR="00F47647" w:rsidRPr="00F47647" w:rsidRDefault="00F47647" w:rsidP="00F47647">
      <w:pPr>
        <w:numPr>
          <w:ilvl w:val="0"/>
          <w:numId w:val="2"/>
        </w:numPr>
      </w:pPr>
      <w:r w:rsidRPr="00F47647">
        <w:t xml:space="preserve">čestného prohlášení, které je přílohou výzvy, </w:t>
      </w:r>
    </w:p>
    <w:p w14:paraId="700EE3D9" w14:textId="77777777" w:rsidR="00F47647" w:rsidRPr="00F47647" w:rsidRDefault="00F47647" w:rsidP="00F47647">
      <w:pPr>
        <w:numPr>
          <w:ilvl w:val="0"/>
          <w:numId w:val="2"/>
        </w:numPr>
      </w:pPr>
      <w:r w:rsidRPr="00F47647">
        <w:t xml:space="preserve">a specifických dokumentů k jednotlivým podmínkám. </w:t>
      </w:r>
    </w:p>
    <w:p w14:paraId="5ACD0F4A" w14:textId="1F7AEC34" w:rsidR="00F47647" w:rsidRPr="00F47647" w:rsidRDefault="00F47647" w:rsidP="00C021F4">
      <w:pPr>
        <w:jc w:val="both"/>
      </w:pPr>
      <w:r w:rsidRPr="00F47647">
        <w:t xml:space="preserve">Žadatel dále zajistí, aby se </w:t>
      </w:r>
      <w:r>
        <w:t>r</w:t>
      </w:r>
      <w:r w:rsidRPr="00F47647">
        <w:t xml:space="preserve">elevantní podmínky DNSH promítly do zadávacích řízení, které souvisejí s realizací projektu. </w:t>
      </w:r>
      <w:r w:rsidR="00067596" w:rsidRPr="00067596">
        <w:t xml:space="preserve">Na všechny </w:t>
      </w:r>
      <w:r w:rsidRPr="00F47647">
        <w:t xml:space="preserve">podmínky DNSH se vztahuje možnost kontroly na místě, zprostředkující subjekt může zároveň kdykoliv požádat o doložení relevantní dokumentace prokazující soulad realizace projektu s podmínkami DNSH. </w:t>
      </w:r>
    </w:p>
    <w:p w14:paraId="07D06C1E" w14:textId="77777777" w:rsidR="00F47647" w:rsidRPr="00F47647" w:rsidRDefault="00F47647" w:rsidP="00F47647">
      <w:r w:rsidRPr="00F47647">
        <w:t xml:space="preserve">Vymezení jednotlivých podmínek DNSH a požadované formy dokladování: </w:t>
      </w:r>
    </w:p>
    <w:p w14:paraId="61D07365" w14:textId="77777777" w:rsidR="00F47647" w:rsidRPr="00F47647" w:rsidRDefault="00F47647" w:rsidP="00F47647">
      <w:pPr>
        <w:numPr>
          <w:ilvl w:val="0"/>
          <w:numId w:val="3"/>
        </w:numPr>
      </w:pPr>
      <w:r w:rsidRPr="00F47647">
        <w:t xml:space="preserve">Z OP ST nelze podporovat investice: </w:t>
      </w:r>
    </w:p>
    <w:p w14:paraId="14E7C1E3" w14:textId="77777777" w:rsidR="00F47647" w:rsidRPr="00F47647" w:rsidRDefault="00F47647" w:rsidP="00C021F4">
      <w:pPr>
        <w:numPr>
          <w:ilvl w:val="1"/>
          <w:numId w:val="22"/>
        </w:numPr>
      </w:pPr>
      <w:r w:rsidRPr="00F47647">
        <w:t xml:space="preserve">do výroby, zpracování, přepravy, distribuce, skladování nebo spalování fosilních paliv včetně investic do materiálního využití fosilních paliv; </w:t>
      </w:r>
    </w:p>
    <w:p w14:paraId="1A05CCED" w14:textId="77777777" w:rsidR="00F47647" w:rsidRPr="00F47647" w:rsidRDefault="00F47647" w:rsidP="00C021F4">
      <w:pPr>
        <w:numPr>
          <w:ilvl w:val="1"/>
          <w:numId w:val="22"/>
        </w:numPr>
      </w:pPr>
      <w:r w:rsidRPr="00F47647">
        <w:t xml:space="preserve">snižující emise skleníkových plynů v zařízení ETS; </w:t>
      </w:r>
    </w:p>
    <w:p w14:paraId="6B93610F" w14:textId="76581AC9" w:rsidR="00F47647" w:rsidRDefault="00F47647" w:rsidP="00C021F4">
      <w:pPr>
        <w:numPr>
          <w:ilvl w:val="1"/>
          <w:numId w:val="22"/>
        </w:numPr>
      </w:pPr>
      <w:r w:rsidRPr="00F47647">
        <w:t xml:space="preserve">zaměřené na energetické využití odpadů. </w:t>
      </w:r>
    </w:p>
    <w:p w14:paraId="2D088EAE" w14:textId="3C5664C8" w:rsidR="00C021F4" w:rsidRDefault="00C021F4" w:rsidP="00C021F4">
      <w:pPr>
        <w:ind w:left="360"/>
      </w:pPr>
    </w:p>
    <w:p w14:paraId="59650FA4" w14:textId="77777777" w:rsidR="00C021F4" w:rsidRPr="00F47647" w:rsidRDefault="00C021F4" w:rsidP="00C021F4">
      <w:pPr>
        <w:ind w:left="360"/>
      </w:pPr>
    </w:p>
    <w:p w14:paraId="0FFF68CC" w14:textId="77777777" w:rsidR="00F47647" w:rsidRPr="00F47647" w:rsidRDefault="00F47647" w:rsidP="00F47647">
      <w:pPr>
        <w:numPr>
          <w:ilvl w:val="0"/>
          <w:numId w:val="3"/>
        </w:numPr>
      </w:pPr>
      <w:r w:rsidRPr="00F47647">
        <w:t xml:space="preserve">Z OP ST lze podporovat stavby (nových budov a jejich rekonstrukcí, technické infrastruktury apod.), pouze za těchto podmínek: </w:t>
      </w:r>
    </w:p>
    <w:p w14:paraId="00C17B68" w14:textId="782C5A88" w:rsidR="00067596" w:rsidRPr="00067596" w:rsidRDefault="00067596" w:rsidP="00C021F4">
      <w:pPr>
        <w:numPr>
          <w:ilvl w:val="0"/>
          <w:numId w:val="24"/>
        </w:numPr>
        <w:jc w:val="both"/>
      </w:pPr>
      <w:r w:rsidRPr="00067596">
        <w:t xml:space="preserve">Nejméně 70 % (hmotnostních) stavebního a demoličního odpadu neklasifikovaného jako nebezpečný ( s výjimkou v přírodě se vyskytujících materiálů uvedených v kategorii 17 05 04 v Evropském seznamu odpadů stanoveném rozhodnutím 2000/532/ES) vzniklého na staveništi je připraveno k opětovnému použití, recyklaci a k jiným druhům materiálového využití, včetně zásypů, při nichž jsou jiné materiály nahrazeny odpadem, v souladu s hierarchií způsobů nakládání s odpady a protokolem EU pro nakládání se stavebním a demoličním odpadem. </w:t>
      </w:r>
    </w:p>
    <w:p w14:paraId="5022816F" w14:textId="73E29A32" w:rsidR="00F47647" w:rsidRPr="00F47647" w:rsidRDefault="00F47647" w:rsidP="00C021F4">
      <w:pPr>
        <w:numPr>
          <w:ilvl w:val="0"/>
          <w:numId w:val="24"/>
        </w:numPr>
        <w:jc w:val="both"/>
      </w:pPr>
      <w:r w:rsidRPr="00F47647">
        <w:t xml:space="preserve">Na stavbě je omezován vznik odpadů v souladu s EU </w:t>
      </w:r>
      <w:proofErr w:type="spellStart"/>
      <w:r w:rsidRPr="00F47647">
        <w:t>Construction</w:t>
      </w:r>
      <w:proofErr w:type="spellEnd"/>
      <w:r w:rsidRPr="00F47647">
        <w:t xml:space="preserve"> and </w:t>
      </w:r>
      <w:proofErr w:type="spellStart"/>
      <w:r w:rsidRPr="00F47647">
        <w:t>Demolition</w:t>
      </w:r>
      <w:proofErr w:type="spellEnd"/>
      <w:r w:rsidRPr="00F47647">
        <w:t xml:space="preserve"> </w:t>
      </w:r>
      <w:proofErr w:type="spellStart"/>
      <w:r w:rsidRPr="00F47647">
        <w:t>Waste</w:t>
      </w:r>
      <w:proofErr w:type="spellEnd"/>
      <w:r w:rsidRPr="00F47647">
        <w:t xml:space="preserve"> Management </w:t>
      </w:r>
      <w:proofErr w:type="spellStart"/>
      <w:r w:rsidRPr="00F47647">
        <w:t>Protocol</w:t>
      </w:r>
      <w:proofErr w:type="spellEnd"/>
      <w:r w:rsidRPr="00F47647">
        <w:t xml:space="preserve"> a berou se do úvahy nejlepší dostupné techniky sloužící k odstranění nebezpečného odpadu a znovuvyužití materiálů. Dříve zmíněné je v souladu s odpadovou legislativou zejména zákonem č. 541/2020 Sb., o odpadech a navazujícími právními předpisy vyhláškou č. 273/2021 Sb., o podrobnostech nakládání s odpady a vyhláškou č. 8/2021 Sb., Katalogem odpadů, doplněné metodickým návodem pro řízení vzniku stavebních a demoličních odpadů a pro nakládání s nimi. </w:t>
      </w:r>
    </w:p>
    <w:p w14:paraId="7BE98ADF" w14:textId="77777777" w:rsidR="00F47647" w:rsidRPr="00F47647" w:rsidRDefault="00F47647" w:rsidP="00F47647">
      <w:r w:rsidRPr="00F47647">
        <w:t xml:space="preserve">Zajištění souladu s podmínkami a) a b): </w:t>
      </w:r>
    </w:p>
    <w:p w14:paraId="49817BD5" w14:textId="77777777" w:rsidR="00F47647" w:rsidRPr="00F47647" w:rsidRDefault="00F47647" w:rsidP="00F47647">
      <w:r w:rsidRPr="00F47647">
        <w:t xml:space="preserve">Příjemce dotace předkládá stanovisko TDI po ukončení stavby, nejpozději ke konci fyzické realizace projektu. </w:t>
      </w:r>
    </w:p>
    <w:p w14:paraId="077866BC" w14:textId="77777777" w:rsidR="00F47647" w:rsidRPr="00F47647" w:rsidRDefault="00F47647" w:rsidP="00C021F4">
      <w:pPr>
        <w:numPr>
          <w:ilvl w:val="0"/>
          <w:numId w:val="24"/>
        </w:numPr>
        <w:jc w:val="both"/>
      </w:pPr>
      <w:r w:rsidRPr="00F47647">
        <w:t xml:space="preserve">Budovy nesmí být postaveny na orné půdě a zemědělské půdě se střední až vysokou úrovní úrodnosti a podzemní biologické rozmanitosti podle průzkumu EU LUCAS.; </w:t>
      </w:r>
    </w:p>
    <w:p w14:paraId="657AB085" w14:textId="77777777" w:rsidR="00F47647" w:rsidRPr="00F47647" w:rsidRDefault="00F47647" w:rsidP="00067596">
      <w:r w:rsidRPr="00F47647">
        <w:t xml:space="preserve">Zajištění souladu s podmínkou c): </w:t>
      </w:r>
    </w:p>
    <w:p w14:paraId="2ED2DC33" w14:textId="77777777" w:rsidR="00F47647" w:rsidRPr="00F47647" w:rsidRDefault="00F47647" w:rsidP="00C021F4">
      <w:pPr>
        <w:jc w:val="both"/>
      </w:pPr>
      <w:r w:rsidRPr="00F47647">
        <w:t xml:space="preserve">Příjemce dotace je povinen nejpozději před vydáním územního rozhodnutí / sloučeného stavebního rozhodnutí předložit stanovisko relevantního orgánu (SÚ nebo OOP), že pozemek bude dočasně nebo </w:t>
      </w:r>
      <w:r w:rsidRPr="00F47647">
        <w:lastRenderedPageBreak/>
        <w:t xml:space="preserve">trvale vyjmut ze ZPF. Po ukončení stavby, nejpozději k dokončení realizace projektu následně dokládá, že vynětí ze ZPF skutečně proběhlo. </w:t>
      </w:r>
    </w:p>
    <w:p w14:paraId="6A5649FF" w14:textId="77777777" w:rsidR="00F47647" w:rsidRPr="00F47647" w:rsidRDefault="00F47647" w:rsidP="00C021F4">
      <w:pPr>
        <w:numPr>
          <w:ilvl w:val="0"/>
          <w:numId w:val="24"/>
        </w:numPr>
        <w:jc w:val="both"/>
      </w:pPr>
      <w:r w:rsidRPr="00F47647">
        <w:t xml:space="preserve">Budovy nesmí být postaveny na zelené louce s uznávanou vysokou hodnotou biologické rozmanitosti a půdě, která slouží jako stanoviště ohrožených druhů (flóry a fauny) uvedených na Evropském červeném seznamu nebo na Červeném seznamu ohrožených druhů IUCN. </w:t>
      </w:r>
    </w:p>
    <w:p w14:paraId="0B61A1B1" w14:textId="77777777" w:rsidR="00F47647" w:rsidRPr="00F47647" w:rsidRDefault="00F47647" w:rsidP="00C021F4">
      <w:pPr>
        <w:numPr>
          <w:ilvl w:val="0"/>
          <w:numId w:val="24"/>
        </w:numPr>
        <w:jc w:val="both"/>
      </w:pPr>
      <w:r w:rsidRPr="00F47647">
        <w:t xml:space="preserve">Budovy nesmí být postaveny na půdě, která odpovídá definici lesa stanovené ve vnitrostátních právních předpisech nebo používané v národní inventuře skleníkových plynů, nebo pokud taková definice neexistuje, půdě, která je v souladu s definicí lesa podle FAO. </w:t>
      </w:r>
    </w:p>
    <w:p w14:paraId="6FA967D7" w14:textId="77777777" w:rsidR="00F47647" w:rsidRPr="00F47647" w:rsidRDefault="00F47647" w:rsidP="00F47647">
      <w:r w:rsidRPr="00F47647">
        <w:t xml:space="preserve">Zajištění souladu s podmínkami d) a e): </w:t>
      </w:r>
    </w:p>
    <w:p w14:paraId="51018808" w14:textId="1515EF42" w:rsidR="00F47647" w:rsidRDefault="00F47647" w:rsidP="00C021F4">
      <w:pPr>
        <w:jc w:val="both"/>
      </w:pPr>
      <w:r w:rsidRPr="00F47647">
        <w:t xml:space="preserve">Příjemce dotace je povinen nejpozději před vydáním územního rozhodnutí / sloučeného stavebního rozhodnutí předložit relevantní dokumentaci dokládající soulad realizace projektu s těmito podmínkami. </w:t>
      </w:r>
    </w:p>
    <w:p w14:paraId="058860F1" w14:textId="5BFBA63C" w:rsidR="00C021F4" w:rsidRDefault="00C021F4" w:rsidP="00C021F4">
      <w:pPr>
        <w:jc w:val="both"/>
      </w:pPr>
    </w:p>
    <w:p w14:paraId="60253DD6" w14:textId="77777777" w:rsidR="00C021F4" w:rsidRPr="00F47647" w:rsidRDefault="00C021F4" w:rsidP="00C021F4">
      <w:pPr>
        <w:jc w:val="both"/>
      </w:pPr>
    </w:p>
    <w:p w14:paraId="74B46B9B" w14:textId="77777777" w:rsidR="00067596" w:rsidRPr="00067596" w:rsidRDefault="00067596" w:rsidP="00C021F4"/>
    <w:p w14:paraId="4891098D" w14:textId="00F26B3C" w:rsidR="00067596" w:rsidRPr="00067596" w:rsidRDefault="00067596" w:rsidP="00C021F4">
      <w:pPr>
        <w:numPr>
          <w:ilvl w:val="0"/>
          <w:numId w:val="3"/>
        </w:numPr>
      </w:pPr>
      <w:r w:rsidRPr="00067596">
        <w:t xml:space="preserve">Z OP ST lze podporovat </w:t>
      </w:r>
      <w:r w:rsidRPr="00067596">
        <w:rPr>
          <w:b/>
          <w:bCs/>
        </w:rPr>
        <w:t>výstavbu nových budov</w:t>
      </w:r>
      <w:r w:rsidRPr="00067596">
        <w:t xml:space="preserve">, pouze za těchto podmínek: </w:t>
      </w:r>
    </w:p>
    <w:p w14:paraId="7F2843F4" w14:textId="2FC96153" w:rsidR="00067596" w:rsidRPr="00067596" w:rsidRDefault="00067596" w:rsidP="00C021F4">
      <w:pPr>
        <w:numPr>
          <w:ilvl w:val="0"/>
          <w:numId w:val="6"/>
        </w:numPr>
        <w:jc w:val="both"/>
      </w:pPr>
      <w:r w:rsidRPr="00067596">
        <w:t>Spotřeba primární energie</w:t>
      </w:r>
      <w:r>
        <w:t xml:space="preserve"> </w:t>
      </w:r>
      <w:r w:rsidRPr="00067596">
        <w:t xml:space="preserve">definující energetickou náročnost budovy, která je výsledkem výstavby, je nejméně o 20 % nižší než prahová hodnota, kterou u požadavků na budovy s téměř nulovou spotřebou energie stanoví vnitrostátní opatření provádějící směrnici Evropského parlamentu a Rady 2010/31/EU. </w:t>
      </w:r>
    </w:p>
    <w:p w14:paraId="7C9C35B7" w14:textId="3D0BA248" w:rsidR="00F47647" w:rsidRPr="00F47647" w:rsidRDefault="00067596" w:rsidP="00C021F4">
      <w:r w:rsidRPr="00067596">
        <w:t xml:space="preserve">Uvedenou podmínku není nutné splnit v případě: </w:t>
      </w:r>
    </w:p>
    <w:p w14:paraId="6AAF32F1" w14:textId="77777777" w:rsidR="00F47647" w:rsidRPr="00F47647" w:rsidRDefault="00F47647" w:rsidP="00F47647">
      <w:pPr>
        <w:numPr>
          <w:ilvl w:val="0"/>
          <w:numId w:val="7"/>
        </w:numPr>
      </w:pPr>
      <w:r w:rsidRPr="00F47647">
        <w:t xml:space="preserve">výstavby budov s celkovou energeticky vztažnou plochou menší než 50 m2, </w:t>
      </w:r>
    </w:p>
    <w:p w14:paraId="5E422CA1" w14:textId="77777777" w:rsidR="00F47647" w:rsidRPr="00F47647" w:rsidRDefault="00F47647" w:rsidP="00F47647">
      <w:pPr>
        <w:numPr>
          <w:ilvl w:val="0"/>
          <w:numId w:val="7"/>
        </w:numPr>
      </w:pPr>
      <w:r w:rsidRPr="00F47647">
        <w:t xml:space="preserve">výstavby skladů, průmyslových a výrobních provozů či dílenských provozoven, </w:t>
      </w:r>
    </w:p>
    <w:p w14:paraId="2BB6F79A" w14:textId="77777777" w:rsidR="00F47647" w:rsidRPr="00F47647" w:rsidRDefault="00F47647" w:rsidP="00F47647">
      <w:pPr>
        <w:numPr>
          <w:ilvl w:val="0"/>
          <w:numId w:val="7"/>
        </w:numPr>
      </w:pPr>
      <w:r w:rsidRPr="00F47647">
        <w:t xml:space="preserve">tzv. drobné stavby dle přílohy č.1 zákona 283/2021 Sb. (stavební zákon), v platném znění; </w:t>
      </w:r>
    </w:p>
    <w:p w14:paraId="7BB100F7" w14:textId="77777777" w:rsidR="00F47647" w:rsidRPr="00F47647" w:rsidRDefault="00F47647" w:rsidP="00F47647">
      <w:r w:rsidRPr="00F47647">
        <w:t xml:space="preserve">Zajištění souladu s podmínkou a): </w:t>
      </w:r>
    </w:p>
    <w:p w14:paraId="507EFEB0" w14:textId="0FC2261E" w:rsidR="00F47647" w:rsidRDefault="00F47647" w:rsidP="00C021F4">
      <w:pPr>
        <w:jc w:val="both"/>
      </w:pPr>
      <w:r w:rsidRPr="00F47647">
        <w:t xml:space="preserve">Příjemce dotace předkládá k žádosti o podporu průkaz energetické náročnosti budovy (PENB) dle vyhlášky č. 264/2020 Sb., o energické náročnosti budov, v platném znění, pro stav po realizaci projektu. </w:t>
      </w:r>
    </w:p>
    <w:p w14:paraId="263D0B8A" w14:textId="77777777" w:rsidR="00C021F4" w:rsidRPr="00F47647" w:rsidRDefault="00C021F4" w:rsidP="00C021F4">
      <w:pPr>
        <w:jc w:val="both"/>
      </w:pPr>
    </w:p>
    <w:p w14:paraId="32FD82A0" w14:textId="77777777" w:rsidR="00F47647" w:rsidRPr="00F47647" w:rsidRDefault="00F47647" w:rsidP="00C021F4">
      <w:pPr>
        <w:numPr>
          <w:ilvl w:val="0"/>
          <w:numId w:val="3"/>
        </w:numPr>
      </w:pPr>
      <w:r w:rsidRPr="00F47647">
        <w:t xml:space="preserve">Z OP ST lze podporovat </w:t>
      </w:r>
      <w:r w:rsidRPr="00F47647">
        <w:rPr>
          <w:b/>
          <w:bCs/>
        </w:rPr>
        <w:t>rekonstrukci budov</w:t>
      </w:r>
      <w:r w:rsidRPr="00F47647">
        <w:t xml:space="preserve">, pouze za těchto podmínek: </w:t>
      </w:r>
    </w:p>
    <w:p w14:paraId="4289020D" w14:textId="77777777" w:rsidR="00F47647" w:rsidRPr="00F47647" w:rsidRDefault="00F47647" w:rsidP="00C021F4">
      <w:pPr>
        <w:numPr>
          <w:ilvl w:val="0"/>
          <w:numId w:val="8"/>
        </w:numPr>
        <w:jc w:val="both"/>
      </w:pPr>
      <w:r w:rsidRPr="00F47647">
        <w:t xml:space="preserve">Při renovaci budovy (konstrukce obálky budovy, energetické zdroje, či realizace dalších opatření vedoucích ke snížené energetické náročnosti budovy) musí dojít k úspoře minimálně 30 % primární energie z neobnovitelných zdrojů. </w:t>
      </w:r>
    </w:p>
    <w:p w14:paraId="034D1A32" w14:textId="77777777" w:rsidR="00F47647" w:rsidRPr="00F47647" w:rsidRDefault="00F47647" w:rsidP="00F47647">
      <w:r w:rsidRPr="00F47647">
        <w:t xml:space="preserve">V odůvodněných případech je možné dosáhnout i nižší úspory a to např.: </w:t>
      </w:r>
    </w:p>
    <w:p w14:paraId="3FF2A92F" w14:textId="77777777" w:rsidR="00F47647" w:rsidRPr="00F47647" w:rsidRDefault="00F47647" w:rsidP="00F47647">
      <w:pPr>
        <w:numPr>
          <w:ilvl w:val="0"/>
          <w:numId w:val="9"/>
        </w:numPr>
      </w:pPr>
      <w:r w:rsidRPr="00F47647">
        <w:t xml:space="preserve">pokud je renovace obálky budovy v rozsahu do 25 % z celkové plochy obálky budovy, </w:t>
      </w:r>
    </w:p>
    <w:p w14:paraId="5B5152AE" w14:textId="77777777" w:rsidR="00F47647" w:rsidRPr="00F47647" w:rsidRDefault="00F47647" w:rsidP="00F47647">
      <w:pPr>
        <w:numPr>
          <w:ilvl w:val="0"/>
          <w:numId w:val="9"/>
        </w:numPr>
      </w:pPr>
      <w:r w:rsidRPr="00F47647">
        <w:lastRenderedPageBreak/>
        <w:t xml:space="preserve">v minulosti již byla provedena dílčí renovace, vedoucí ke snížení energetické náročnosti budovy, </w:t>
      </w:r>
    </w:p>
    <w:p w14:paraId="59DDCF8D" w14:textId="77777777" w:rsidR="00F47647" w:rsidRPr="00F47647" w:rsidRDefault="00F47647" w:rsidP="00F47647">
      <w:pPr>
        <w:numPr>
          <w:ilvl w:val="0"/>
          <w:numId w:val="9"/>
        </w:numPr>
      </w:pPr>
      <w:r w:rsidRPr="00F47647">
        <w:t xml:space="preserve">existují omezení z důvodu památkové ochrany budovy v souladu s § 7 odst. 5 zákona č. 406/2000 Sb., o hospodaření energií, ve znění pozdějších předpisů, </w:t>
      </w:r>
    </w:p>
    <w:p w14:paraId="2D70351B" w14:textId="77777777" w:rsidR="00F47647" w:rsidRPr="00F47647" w:rsidRDefault="00F47647" w:rsidP="00F47647">
      <w:pPr>
        <w:numPr>
          <w:ilvl w:val="0"/>
          <w:numId w:val="9"/>
        </w:numPr>
      </w:pPr>
      <w:r w:rsidRPr="00F47647">
        <w:t xml:space="preserve">vzhledem k charakteru budovy by se jednalo o nákladově neefektivní opatření; </w:t>
      </w:r>
    </w:p>
    <w:p w14:paraId="00B5692A" w14:textId="6EA3E67D" w:rsidR="00F47647" w:rsidRPr="00F47647" w:rsidRDefault="00F47647" w:rsidP="00C021F4">
      <w:pPr>
        <w:jc w:val="both"/>
      </w:pPr>
      <w:r w:rsidRPr="00F47647">
        <w:t xml:space="preserve">Důvod (důvody), proč není možné limitní úspory dosáhnout, budou objektivně doloženy k žádosti o podporu, prostřednictvím Energetického posudku, který definuje maximálně možnou hodnotu energetických úspor dosažitelnou realizovaných projektem. Tato hodnota bude povinným závazkem projektu. </w:t>
      </w:r>
    </w:p>
    <w:p w14:paraId="14816E73" w14:textId="77777777" w:rsidR="00F47647" w:rsidRPr="00F47647" w:rsidRDefault="00F47647" w:rsidP="00F47647">
      <w:r w:rsidRPr="00F47647">
        <w:t xml:space="preserve">Uvedenou podmínku není nutné splnit v případě: </w:t>
      </w:r>
    </w:p>
    <w:p w14:paraId="4476F67D" w14:textId="77777777" w:rsidR="00F47647" w:rsidRPr="00F47647" w:rsidRDefault="00F47647" w:rsidP="00F47647">
      <w:pPr>
        <w:numPr>
          <w:ilvl w:val="0"/>
          <w:numId w:val="10"/>
        </w:numPr>
      </w:pPr>
      <w:r w:rsidRPr="00F47647">
        <w:t xml:space="preserve">budov s celkovou energeticky vztažnou plochou menší než 50 m2, </w:t>
      </w:r>
    </w:p>
    <w:p w14:paraId="22DAE28B" w14:textId="77777777" w:rsidR="00F47647" w:rsidRPr="00F47647" w:rsidRDefault="00F47647" w:rsidP="00C021F4">
      <w:pPr>
        <w:numPr>
          <w:ilvl w:val="0"/>
          <w:numId w:val="10"/>
        </w:numPr>
        <w:jc w:val="both"/>
      </w:pPr>
      <w:r w:rsidRPr="00F47647">
        <w:t xml:space="preserve">skladů, průmyslových, výrobních provozů, dílenských provozoven se spotřebou energie do 195 </w:t>
      </w:r>
      <w:proofErr w:type="spellStart"/>
      <w:r w:rsidRPr="00F47647">
        <w:t>MWh</w:t>
      </w:r>
      <w:proofErr w:type="spellEnd"/>
      <w:r w:rsidRPr="00F47647">
        <w:t xml:space="preserve"> za rok, za podmínky, že Příjemce podpory tuto skutečnost prokazatelně doloží společně se Žádostí o podporu; </w:t>
      </w:r>
    </w:p>
    <w:p w14:paraId="4231ACC3" w14:textId="77777777" w:rsidR="00F47647" w:rsidRPr="00F47647" w:rsidRDefault="00F47647" w:rsidP="00F47647">
      <w:pPr>
        <w:numPr>
          <w:ilvl w:val="0"/>
          <w:numId w:val="10"/>
        </w:numPr>
      </w:pPr>
      <w:r w:rsidRPr="00F47647">
        <w:t xml:space="preserve">tzv. drobných staveb dle přílohy č. 1 zákona 283/2021 Sb. (stavební zákon), v platném znění. </w:t>
      </w:r>
    </w:p>
    <w:p w14:paraId="06BD8C83" w14:textId="77777777" w:rsidR="00F47647" w:rsidRPr="00F47647" w:rsidRDefault="00F47647" w:rsidP="00F47647"/>
    <w:p w14:paraId="30C41EA2" w14:textId="77777777" w:rsidR="00F47647" w:rsidRPr="00F47647" w:rsidRDefault="00F47647" w:rsidP="00C021F4">
      <w:pPr>
        <w:jc w:val="both"/>
      </w:pPr>
      <w:r w:rsidRPr="00F47647">
        <w:t>Zajištění souladu s podmínkou a)</w:t>
      </w:r>
      <w:r w:rsidRPr="00F47647">
        <w:rPr>
          <w:b/>
          <w:bCs/>
        </w:rPr>
        <w:t xml:space="preserve">: </w:t>
      </w:r>
    </w:p>
    <w:p w14:paraId="6ED80AA9" w14:textId="77777777" w:rsidR="00F47647" w:rsidRPr="00F47647" w:rsidRDefault="00F47647" w:rsidP="00C021F4">
      <w:pPr>
        <w:jc w:val="both"/>
      </w:pPr>
      <w:r w:rsidRPr="00F47647">
        <w:t xml:space="preserve">Příjemce dotace, společně se žádostí o podporu, předkládá energetický posudek dle vyhlášky č. 141/2021 Sb., o energetickém posudku a o údajích vedených v Systému monitoringu spotřeby energie, zpracovaný energetickým specialistou s příslušným oprávněním podle zákona č. 406/2000 Sb., o hospodaření energií, v platném znění. </w:t>
      </w:r>
    </w:p>
    <w:p w14:paraId="711DDF1E" w14:textId="77777777" w:rsidR="00F47647" w:rsidRPr="00F47647" w:rsidRDefault="00F47647" w:rsidP="00C021F4">
      <w:pPr>
        <w:jc w:val="both"/>
      </w:pPr>
      <w:r w:rsidRPr="00F47647">
        <w:t xml:space="preserve">V energetickém posudku budou uvedeny následující informace: </w:t>
      </w:r>
    </w:p>
    <w:p w14:paraId="22056721" w14:textId="77777777" w:rsidR="00F47647" w:rsidRPr="00F47647" w:rsidRDefault="00F47647" w:rsidP="00C021F4">
      <w:pPr>
        <w:numPr>
          <w:ilvl w:val="0"/>
          <w:numId w:val="11"/>
        </w:numPr>
        <w:jc w:val="both"/>
      </w:pPr>
      <w:r w:rsidRPr="00F47647">
        <w:t xml:space="preserve">výchozí spotřeba primární energie z neobnovitelných zdrojů a spotřeba primární energie po renovaci obálky v </w:t>
      </w:r>
      <w:proofErr w:type="spellStart"/>
      <w:r w:rsidRPr="00F47647">
        <w:t>MWh</w:t>
      </w:r>
      <w:proofErr w:type="spellEnd"/>
      <w:r w:rsidRPr="00F47647">
        <w:t xml:space="preserve"> i GJ, a výše úspory primární energie v procentech, </w:t>
      </w:r>
    </w:p>
    <w:p w14:paraId="44521FC0" w14:textId="77777777" w:rsidR="00F47647" w:rsidRPr="00F47647" w:rsidRDefault="00F47647" w:rsidP="00C021F4">
      <w:pPr>
        <w:numPr>
          <w:ilvl w:val="0"/>
          <w:numId w:val="11"/>
        </w:numPr>
        <w:jc w:val="both"/>
      </w:pPr>
      <w:r w:rsidRPr="00F47647">
        <w:t xml:space="preserve">v případě úspory primární energie vyšší nebo rovné 30 % bude výrokem energetického specialisty potvrzeno, že renovace obálky budovy povede k úspoře minimálně 30 % primární energie z neobnovitelných zdrojů. </w:t>
      </w:r>
    </w:p>
    <w:p w14:paraId="1D98DC86" w14:textId="77777777" w:rsidR="00F47647" w:rsidRPr="00F47647" w:rsidRDefault="00F47647" w:rsidP="00C021F4">
      <w:pPr>
        <w:numPr>
          <w:ilvl w:val="0"/>
          <w:numId w:val="11"/>
        </w:numPr>
        <w:jc w:val="both"/>
      </w:pPr>
      <w:r w:rsidRPr="00F47647">
        <w:t xml:space="preserve">v případě dosažitelné úspory primární energie nižší než 30 % bude uveden důvod (důvody), proč není možné této úspory dosáhnout. </w:t>
      </w:r>
    </w:p>
    <w:p w14:paraId="0F896F4B" w14:textId="77777777" w:rsidR="00F47647" w:rsidRPr="00F47647" w:rsidRDefault="00F47647" w:rsidP="00C021F4">
      <w:pPr>
        <w:jc w:val="both"/>
      </w:pPr>
      <w:r w:rsidRPr="00F47647">
        <w:t xml:space="preserve">Nejpozději k termínu ukončení realizace projektu předkládá příjemce podpory stanovisko zpracovatele energetického posudku, dle zveřejněného závazného vzoru, které potvrdí splnění předpokladů k plnění ukazatelů energetických úspor. </w:t>
      </w:r>
    </w:p>
    <w:p w14:paraId="267F4021" w14:textId="77777777" w:rsidR="00F47647" w:rsidRPr="00F47647" w:rsidRDefault="00F47647" w:rsidP="00C021F4">
      <w:pPr>
        <w:numPr>
          <w:ilvl w:val="0"/>
          <w:numId w:val="8"/>
        </w:numPr>
        <w:jc w:val="both"/>
      </w:pPr>
      <w:r w:rsidRPr="00F47647">
        <w:t xml:space="preserve">V rámci snižování energetické náročnosti technologických procesů musejí všechny nové spotřebiče splňovat nejvyšší dostupnou energetickou třídu dle příslušné legislativy pro daný typ spotřebiče. </w:t>
      </w:r>
    </w:p>
    <w:p w14:paraId="7B93735F" w14:textId="77777777" w:rsidR="00F47647" w:rsidRPr="00F47647" w:rsidRDefault="00F47647" w:rsidP="00C021F4">
      <w:pPr>
        <w:jc w:val="both"/>
      </w:pPr>
      <w:r w:rsidRPr="00F47647">
        <w:t xml:space="preserve">Zajištění souladu s podmínkou b): </w:t>
      </w:r>
    </w:p>
    <w:p w14:paraId="62BE0C8E" w14:textId="77777777" w:rsidR="00F47647" w:rsidRPr="00F47647" w:rsidRDefault="00F47647" w:rsidP="00C021F4">
      <w:pPr>
        <w:jc w:val="both"/>
      </w:pPr>
      <w:r w:rsidRPr="00F47647">
        <w:lastRenderedPageBreak/>
        <w:t xml:space="preserve">Příjemce dotace musí být v případě kontroly na místě schopen předložit relevantní dokumentaci prokazující splnění podmínky v případě, že se jedná o energetickou třídu A, žadatel srovnání nedokládá; v případě, že se jedná o nižší energetickou třídu, žadatel dokládá záznam o průzkumu trhu se spotřebiči obdobných typových a technických specifikací. </w:t>
      </w:r>
    </w:p>
    <w:p w14:paraId="2FF485F8" w14:textId="77777777" w:rsidR="00F47647" w:rsidRPr="00F47647" w:rsidRDefault="00F47647" w:rsidP="00C021F4">
      <w:pPr>
        <w:numPr>
          <w:ilvl w:val="0"/>
          <w:numId w:val="8"/>
        </w:numPr>
        <w:jc w:val="both"/>
      </w:pPr>
      <w:r w:rsidRPr="00F47647">
        <w:t xml:space="preserve">V případě realizace výměny/rekonstrukce zdroje tepla na vytápění musí budova po realizaci projektu plnit minimálně parametry energetické náročnosti definované § 6 odst. 2 vyhlášky č.264/2020 Sb., o energetické náročnosti budov, v platném znění. </w:t>
      </w:r>
    </w:p>
    <w:p w14:paraId="352577C1" w14:textId="77777777" w:rsidR="00F47647" w:rsidRPr="00F47647" w:rsidRDefault="00F47647" w:rsidP="00C021F4">
      <w:pPr>
        <w:jc w:val="both"/>
      </w:pPr>
      <w:r w:rsidRPr="00F47647">
        <w:t xml:space="preserve">Tento požadavek se netýká památkově chráněných budov v souladu s § 7 odst. 5 zákona č. 406/2000 Sb., o hospodaření energií, v platném znění. </w:t>
      </w:r>
    </w:p>
    <w:p w14:paraId="557A697F" w14:textId="77777777" w:rsidR="00F47647" w:rsidRPr="00F47647" w:rsidRDefault="00F47647" w:rsidP="00C021F4">
      <w:pPr>
        <w:jc w:val="both"/>
      </w:pPr>
      <w:r w:rsidRPr="00F47647">
        <w:t xml:space="preserve">Zajištění souladu s podmínkou c): </w:t>
      </w:r>
    </w:p>
    <w:p w14:paraId="542E1BA8" w14:textId="77777777" w:rsidR="00F47647" w:rsidRPr="00F47647" w:rsidRDefault="00F47647" w:rsidP="00C021F4">
      <w:pPr>
        <w:jc w:val="both"/>
      </w:pPr>
      <w:r w:rsidRPr="00F47647">
        <w:t xml:space="preserve">Příjemce dotace předkládá k žádosti o podporu průkaz energetické náročnosti budovy (PENB) dle vyhlášky č. 264/2020 Sb., o energické náročnosti budov, v platném znění, pro stav po realizaci projektu. </w:t>
      </w:r>
    </w:p>
    <w:p w14:paraId="07E7D2CD" w14:textId="77777777" w:rsidR="00F47647" w:rsidRPr="00F47647" w:rsidRDefault="00F47647" w:rsidP="00C021F4">
      <w:pPr>
        <w:numPr>
          <w:ilvl w:val="0"/>
          <w:numId w:val="3"/>
        </w:numPr>
        <w:jc w:val="both"/>
      </w:pPr>
      <w:r w:rsidRPr="00F47647">
        <w:t xml:space="preserve">Z OP ST lze podporovat instalaci zařízení využívajících vodu (sprchy, vany, WC atd.) pouze za těchto podmínek: </w:t>
      </w:r>
    </w:p>
    <w:p w14:paraId="638EC2FC" w14:textId="77777777" w:rsidR="00F47647" w:rsidRPr="00F47647" w:rsidRDefault="00F47647" w:rsidP="00C021F4">
      <w:pPr>
        <w:numPr>
          <w:ilvl w:val="0"/>
          <w:numId w:val="15"/>
        </w:numPr>
        <w:jc w:val="both"/>
      </w:pPr>
      <w:r w:rsidRPr="00F47647">
        <w:t xml:space="preserve">sprchy mají maximální průtok vody 8 l/min; </w:t>
      </w:r>
    </w:p>
    <w:p w14:paraId="76DB2672" w14:textId="77777777" w:rsidR="00F47647" w:rsidRPr="00F47647" w:rsidRDefault="00F47647" w:rsidP="00C021F4">
      <w:pPr>
        <w:numPr>
          <w:ilvl w:val="0"/>
          <w:numId w:val="15"/>
        </w:numPr>
        <w:jc w:val="both"/>
      </w:pPr>
      <w:r w:rsidRPr="00F47647">
        <w:t xml:space="preserve">WC, zahrnující soupravy, mísy a splachovací nádrže, mají úplný objem splachovací vody maximálně 6 l. a maximální průměrný objem splachovací vody 3,5l; </w:t>
      </w:r>
    </w:p>
    <w:p w14:paraId="505EC8A4" w14:textId="77777777" w:rsidR="00F47647" w:rsidRPr="00F47647" w:rsidRDefault="00F47647" w:rsidP="00C021F4">
      <w:pPr>
        <w:numPr>
          <w:ilvl w:val="0"/>
          <w:numId w:val="15"/>
        </w:numPr>
        <w:jc w:val="both"/>
      </w:pPr>
      <w:r w:rsidRPr="00F47647">
        <w:t xml:space="preserve">pisoáry spotřebují maximálně 2 l/mísu/hodinu. Splachovací pisoáry mají maximální úplný objem splachovací vody 1 l; </w:t>
      </w:r>
    </w:p>
    <w:p w14:paraId="5F4424B3" w14:textId="77777777" w:rsidR="00F47647" w:rsidRPr="00F47647" w:rsidRDefault="00F47647" w:rsidP="00C021F4">
      <w:pPr>
        <w:numPr>
          <w:ilvl w:val="0"/>
          <w:numId w:val="15"/>
        </w:numPr>
        <w:jc w:val="both"/>
      </w:pPr>
      <w:r w:rsidRPr="00F47647">
        <w:t xml:space="preserve">umyvadlové baterie a kuchyňské baterie mají maximální průtok 6 l/min. </w:t>
      </w:r>
    </w:p>
    <w:p w14:paraId="5440E129" w14:textId="77777777" w:rsidR="00F47647" w:rsidRPr="00F47647" w:rsidRDefault="00F47647" w:rsidP="00C021F4">
      <w:pPr>
        <w:numPr>
          <w:ilvl w:val="0"/>
          <w:numId w:val="3"/>
        </w:numPr>
        <w:jc w:val="both"/>
      </w:pPr>
      <w:r w:rsidRPr="00F47647">
        <w:t xml:space="preserve">Z OP ST lze podporovat pořízení vozidel, pouze za těchto podmínek: </w:t>
      </w:r>
    </w:p>
    <w:p w14:paraId="580ABE94" w14:textId="77777777" w:rsidR="00F47647" w:rsidRPr="00F47647" w:rsidRDefault="00F47647" w:rsidP="00C021F4">
      <w:pPr>
        <w:numPr>
          <w:ilvl w:val="0"/>
          <w:numId w:val="27"/>
        </w:numPr>
        <w:jc w:val="both"/>
      </w:pPr>
      <w:r w:rsidRPr="00F47647">
        <w:t xml:space="preserve">podpořený automobil kategorie M1 a N1 musí mít nulové emise CO2/km </w:t>
      </w:r>
    </w:p>
    <w:p w14:paraId="2F3E280E" w14:textId="77777777" w:rsidR="00F47647" w:rsidRPr="00F47647" w:rsidRDefault="00F47647" w:rsidP="00C021F4">
      <w:pPr>
        <w:numPr>
          <w:ilvl w:val="0"/>
          <w:numId w:val="27"/>
        </w:numPr>
        <w:jc w:val="both"/>
      </w:pPr>
      <w:r w:rsidRPr="00F47647">
        <w:t xml:space="preserve">v případě pronájmu (operativní leasing) automobil kategorie M1 a N1 musí mít emise nižší než 50 g CO2/km, od 1. 1. 2026 musí být emise nulové </w:t>
      </w:r>
    </w:p>
    <w:p w14:paraId="7E937753" w14:textId="77777777" w:rsidR="00F47647" w:rsidRPr="00F47647" w:rsidRDefault="00F47647" w:rsidP="00C021F4">
      <w:pPr>
        <w:numPr>
          <w:ilvl w:val="0"/>
          <w:numId w:val="27"/>
        </w:numPr>
        <w:jc w:val="both"/>
      </w:pPr>
      <w:r w:rsidRPr="00F47647">
        <w:t xml:space="preserve">u vozidel kategorií N2 a N3 spadajících do oblasti působnosti nařízení (EU) 2019/1242 dosahují specifické přímé emise CO2 nejvýše referenčních emisí CO2 pro všechna vozidla v dané podskupině, jak stanoví článek 3 uvedeného nařízení </w:t>
      </w:r>
    </w:p>
    <w:p w14:paraId="7A55ADF9" w14:textId="77777777" w:rsidR="00F47647" w:rsidRPr="00F47647" w:rsidRDefault="00F47647" w:rsidP="00C021F4">
      <w:pPr>
        <w:numPr>
          <w:ilvl w:val="0"/>
          <w:numId w:val="27"/>
        </w:numPr>
        <w:jc w:val="both"/>
      </w:pPr>
      <w:r w:rsidRPr="00F47647">
        <w:t xml:space="preserve">v případě vozidel pro zvláštní účely, pokud výše uvedená pravidla neplatí, bude podporována nejlepší dostupná technologie v dané kategorii vozidel. </w:t>
      </w:r>
    </w:p>
    <w:p w14:paraId="44002F5B" w14:textId="77777777" w:rsidR="00F47647" w:rsidRPr="00F47647" w:rsidRDefault="00F47647" w:rsidP="00C021F4">
      <w:pPr>
        <w:numPr>
          <w:ilvl w:val="0"/>
          <w:numId w:val="3"/>
        </w:numPr>
        <w:jc w:val="both"/>
      </w:pPr>
      <w:r w:rsidRPr="00F47647">
        <w:t xml:space="preserve">Z OP ST lze podporovat využití pouze obnovitelných zdrojů energie, a to pouze za těchto podmínek: </w:t>
      </w:r>
    </w:p>
    <w:p w14:paraId="77B85720" w14:textId="6126B160" w:rsidR="00F47647" w:rsidRPr="00F47647" w:rsidRDefault="00F47647" w:rsidP="00C021F4">
      <w:pPr>
        <w:numPr>
          <w:ilvl w:val="0"/>
          <w:numId w:val="28"/>
        </w:numPr>
        <w:jc w:val="both"/>
      </w:pPr>
      <w:r w:rsidRPr="00F47647">
        <w:t xml:space="preserve">Při podpoře výroby vodíku je podpora poskytovaná jen na obnovitelný vodík. </w:t>
      </w:r>
    </w:p>
    <w:p w14:paraId="75F34D33" w14:textId="77777777" w:rsidR="00F47647" w:rsidRPr="00F47647" w:rsidRDefault="00F47647" w:rsidP="00C021F4">
      <w:pPr>
        <w:numPr>
          <w:ilvl w:val="0"/>
          <w:numId w:val="28"/>
        </w:numPr>
        <w:jc w:val="both"/>
      </w:pPr>
      <w:r w:rsidRPr="00F47647">
        <w:t xml:space="preserve">V případě podpory bateriové akumulace pro obnovitelné zdroje energie jsou z podpory vyloučeny technologie na bázi olova, </w:t>
      </w:r>
      <w:proofErr w:type="spellStart"/>
      <w:r w:rsidRPr="00F47647">
        <w:t>NiCd</w:t>
      </w:r>
      <w:proofErr w:type="spellEnd"/>
      <w:r w:rsidRPr="00F47647">
        <w:t xml:space="preserve"> a </w:t>
      </w:r>
      <w:proofErr w:type="spellStart"/>
      <w:r w:rsidRPr="00F47647">
        <w:t>NiMH</w:t>
      </w:r>
      <w:proofErr w:type="spellEnd"/>
      <w:r w:rsidRPr="00F47647">
        <w:t xml:space="preserve">, které by mohly způsobovat škody na životním prostředí. </w:t>
      </w:r>
    </w:p>
    <w:p w14:paraId="11E590FF" w14:textId="77777777" w:rsidR="00F47647" w:rsidRPr="00F47647" w:rsidRDefault="00F47647" w:rsidP="00C021F4">
      <w:pPr>
        <w:numPr>
          <w:ilvl w:val="0"/>
          <w:numId w:val="28"/>
        </w:numPr>
        <w:jc w:val="both"/>
      </w:pPr>
      <w:r w:rsidRPr="00F47647">
        <w:t xml:space="preserve">Při podpoře kotlů na biomasu je podpora poskytována: </w:t>
      </w:r>
    </w:p>
    <w:p w14:paraId="209EBDFA" w14:textId="07178F28" w:rsidR="00F47647" w:rsidRPr="00F47647" w:rsidRDefault="00F47647" w:rsidP="00C021F4">
      <w:pPr>
        <w:numPr>
          <w:ilvl w:val="2"/>
          <w:numId w:val="29"/>
        </w:numPr>
        <w:jc w:val="both"/>
      </w:pPr>
      <w:r w:rsidRPr="00F47647">
        <w:lastRenderedPageBreak/>
        <w:t xml:space="preserve">V souladu s kritérii udržitelnosti a úspor emisí skleníkových plynů stanovenými v článku 29 směrnice (EU) 2018/2001 o podpoře využívání energie z obnovitelných zdrojů („směrnice o obnovitelných zdrojích energie“, „RED II“). Tyto požadavky se budou vztahovat na všechna zařízení bez ohledu na prahové hodnoty uvedené ve směrnici RED II. </w:t>
      </w:r>
    </w:p>
    <w:p w14:paraId="04EAD267" w14:textId="77777777" w:rsidR="00F47647" w:rsidRPr="00F47647" w:rsidRDefault="00F47647" w:rsidP="00C021F4">
      <w:pPr>
        <w:numPr>
          <w:ilvl w:val="2"/>
          <w:numId w:val="29"/>
        </w:numPr>
        <w:jc w:val="both"/>
      </w:pPr>
      <w:r w:rsidRPr="00F47647">
        <w:t xml:space="preserve">V souladu s posouzením trajektorií udržitelného využívání bioenergie a dodávek biomasy v Česku a jeho dopadů na využití půdy, změny ve využití půdy, lesní propady uhlíku a biologickou rozmanitost, jakož i vlivu na kvalitu ovzduší. </w:t>
      </w:r>
    </w:p>
    <w:p w14:paraId="3F965DD5" w14:textId="77777777" w:rsidR="00F47647" w:rsidRPr="00F47647" w:rsidRDefault="00F47647" w:rsidP="00C021F4">
      <w:pPr>
        <w:numPr>
          <w:ilvl w:val="2"/>
          <w:numId w:val="29"/>
        </w:numPr>
        <w:jc w:val="both"/>
      </w:pPr>
      <w:r w:rsidRPr="00F47647">
        <w:t xml:space="preserve">Plnit alespoň 80 % úspor emisí skleníkových plynů, která je obecně splněna s ohledem na typ palivového přechodu na biomasu. </w:t>
      </w:r>
    </w:p>
    <w:p w14:paraId="7F044B50" w14:textId="77777777" w:rsidR="00F47647" w:rsidRPr="00F47647" w:rsidRDefault="00F47647" w:rsidP="00C021F4">
      <w:pPr>
        <w:numPr>
          <w:ilvl w:val="0"/>
          <w:numId w:val="3"/>
        </w:numPr>
        <w:jc w:val="both"/>
      </w:pPr>
      <w:r w:rsidRPr="00F47647">
        <w:t xml:space="preserve">Při výsadbě zeleně se použijí pouze stanovištně vhodné dřeviny, které zajistí odolnost vůči klimatu a zároveň nebudou mít negativní dopad z pohledu biologické rozmanitosti. </w:t>
      </w:r>
    </w:p>
    <w:p w14:paraId="62CA3F8F" w14:textId="77777777" w:rsidR="00F47647" w:rsidRPr="00F47647" w:rsidRDefault="00F47647" w:rsidP="00C021F4">
      <w:pPr>
        <w:numPr>
          <w:ilvl w:val="0"/>
          <w:numId w:val="3"/>
        </w:numPr>
        <w:jc w:val="both"/>
      </w:pPr>
      <w:r w:rsidRPr="00F47647">
        <w:t xml:space="preserve">Projekt musí být dle jeho charakteru v souladu s relevantními strategickými dokumenty – např. státní politikou plánování v oblasti vod tvořenou zpracovanými plány pro zvládání povodňových rizik a plány dílčích povodí, plánu rozvoje vodovodů a kanalizací apod. </w:t>
      </w:r>
    </w:p>
    <w:p w14:paraId="03F548C3" w14:textId="77777777" w:rsidR="00F47647" w:rsidRPr="00F47647" w:rsidRDefault="00F47647" w:rsidP="00C021F4">
      <w:pPr>
        <w:numPr>
          <w:ilvl w:val="0"/>
          <w:numId w:val="3"/>
        </w:numPr>
        <w:jc w:val="both"/>
      </w:pPr>
      <w:r w:rsidRPr="00F47647">
        <w:t xml:space="preserve">U investic zaměřených na výstavbu zařízení pro sběr nebo využití odpadů se uplatní tyto podmínky: </w:t>
      </w:r>
    </w:p>
    <w:p w14:paraId="29EF68F2" w14:textId="77777777" w:rsidR="008D72E1" w:rsidRPr="008D72E1" w:rsidRDefault="008D72E1" w:rsidP="00C021F4">
      <w:pPr>
        <w:numPr>
          <w:ilvl w:val="2"/>
          <w:numId w:val="30"/>
        </w:numPr>
        <w:jc w:val="both"/>
      </w:pPr>
      <w:r w:rsidRPr="008D72E1">
        <w:t xml:space="preserve">Projekt je v souladu se závaznou částí Plánu odpadového hospodářství ČR a Plánu odpadového hospodářství daného kraje. </w:t>
      </w:r>
    </w:p>
    <w:p w14:paraId="1EA5BBBE" w14:textId="77777777" w:rsidR="00F47647" w:rsidRPr="00F47647" w:rsidRDefault="00F47647" w:rsidP="00C021F4">
      <w:pPr>
        <w:jc w:val="both"/>
      </w:pPr>
      <w:r w:rsidRPr="00F47647">
        <w:t xml:space="preserve">Zajištění souladu s podmínkou a): </w:t>
      </w:r>
    </w:p>
    <w:p w14:paraId="572032BA" w14:textId="77777777" w:rsidR="00F47647" w:rsidRDefault="00F47647" w:rsidP="00C021F4">
      <w:pPr>
        <w:jc w:val="both"/>
      </w:pPr>
      <w:r w:rsidRPr="00F47647">
        <w:t xml:space="preserve">Vyjádření příslušného krajského úřadu. Dokládá se k žádosti. </w:t>
      </w:r>
    </w:p>
    <w:p w14:paraId="36A732CB" w14:textId="77777777" w:rsidR="008D72E1" w:rsidRPr="008D72E1" w:rsidRDefault="008D72E1" w:rsidP="00C021F4">
      <w:pPr>
        <w:jc w:val="both"/>
      </w:pPr>
    </w:p>
    <w:p w14:paraId="47545390" w14:textId="77777777" w:rsidR="008D72E1" w:rsidRPr="008D72E1" w:rsidRDefault="008D72E1" w:rsidP="00C021F4">
      <w:pPr>
        <w:numPr>
          <w:ilvl w:val="2"/>
          <w:numId w:val="30"/>
        </w:numPr>
        <w:jc w:val="both"/>
      </w:pPr>
      <w:r w:rsidRPr="008D72E1">
        <w:t xml:space="preserve">V případě projektu zařízení na třídění a dotřídění odpadů předloží žadatel potvrzení o záměru dodávek budoucích dodavatelů odpadů (pokud se nejedná o vlastní odpad), v rozsahu pokrytí minimálně poloviny roční kapacity podporovaného zařízení uvažované pro všechny přijímané odpady; </w:t>
      </w:r>
    </w:p>
    <w:p w14:paraId="09168F89" w14:textId="77777777" w:rsidR="008D72E1" w:rsidRPr="008D72E1" w:rsidRDefault="008D72E1" w:rsidP="00C021F4">
      <w:pPr>
        <w:numPr>
          <w:ilvl w:val="2"/>
          <w:numId w:val="30"/>
        </w:numPr>
        <w:jc w:val="both"/>
      </w:pPr>
      <w:r w:rsidRPr="008D72E1">
        <w:t xml:space="preserve">Vstupem do zařízení musí být vždy odpad a výstupem materiál, který přestal být odpadem a splňuje podmínky dle § 9 zákona 541/2020 Sb., o odpadech. </w:t>
      </w:r>
    </w:p>
    <w:p w14:paraId="0946E716" w14:textId="77777777" w:rsidR="00F47647" w:rsidRPr="00F47647" w:rsidRDefault="00F47647" w:rsidP="00C021F4">
      <w:pPr>
        <w:numPr>
          <w:ilvl w:val="0"/>
          <w:numId w:val="3"/>
        </w:numPr>
        <w:jc w:val="both"/>
      </w:pPr>
      <w:r w:rsidRPr="00F47647">
        <w:t xml:space="preserve">Pro rekonstrukce a stavbu nových budov platí, že projekt není realizován v záplavovém území Q100 s výjimkou případů, kdy pro danou lokalitu prokazatelně existují dostatečná protipovodňová opatření. </w:t>
      </w:r>
    </w:p>
    <w:p w14:paraId="1B164ECD" w14:textId="063690F9" w:rsidR="00F47647" w:rsidRPr="00F47647" w:rsidRDefault="00F47647" w:rsidP="00C021F4">
      <w:pPr>
        <w:numPr>
          <w:ilvl w:val="0"/>
          <w:numId w:val="3"/>
        </w:numPr>
        <w:jc w:val="both"/>
      </w:pPr>
      <w:r w:rsidRPr="00F47647">
        <w:t xml:space="preserve">V případě, že v rámci projektu (rekonstrukce a stavba nových budov) dochází k využití vodních zdrojů a lokalita není napojena na veřejný vodovod, žadatel prokáže, že nečerpá povrchovou, podzemní nebo srážkovou vodu v rizikových oblastech dle zjednodušeného posouzení uvedeného v příloze č. 13 </w:t>
      </w:r>
      <w:r w:rsidR="00BB30ED">
        <w:t xml:space="preserve">platných </w:t>
      </w:r>
      <w:r w:rsidR="00BB30ED" w:rsidRPr="00F47647">
        <w:rPr>
          <w:b/>
          <w:bCs/>
        </w:rPr>
        <w:t>Pravid</w:t>
      </w:r>
      <w:r w:rsidR="00BB30ED">
        <w:rPr>
          <w:b/>
          <w:bCs/>
        </w:rPr>
        <w:t>el</w:t>
      </w:r>
      <w:r w:rsidR="00BB30ED" w:rsidRPr="00F47647">
        <w:rPr>
          <w:b/>
          <w:bCs/>
        </w:rPr>
        <w:t xml:space="preserve"> pro žadatele a příjemce podpory v Operačním programu Spravedlivá transformace 2021-2027</w:t>
      </w:r>
      <w:r w:rsidRPr="00F47647">
        <w:t xml:space="preserve">. </w:t>
      </w:r>
    </w:p>
    <w:p w14:paraId="59AD5C0D" w14:textId="77777777" w:rsidR="00F47647" w:rsidRPr="00F47647" w:rsidRDefault="00F47647" w:rsidP="00F47647"/>
    <w:p w14:paraId="42B18588" w14:textId="77777777" w:rsidR="00725E6C" w:rsidRDefault="00725E6C"/>
    <w:sectPr w:rsidR="00725E6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1BCC9" w14:textId="77777777" w:rsidR="0091533C" w:rsidRDefault="0091533C" w:rsidP="00725E6C">
      <w:pPr>
        <w:spacing w:after="0" w:line="240" w:lineRule="auto"/>
      </w:pPr>
      <w:r>
        <w:separator/>
      </w:r>
    </w:p>
  </w:endnote>
  <w:endnote w:type="continuationSeparator" w:id="0">
    <w:p w14:paraId="5E6C4179" w14:textId="77777777" w:rsidR="0091533C" w:rsidRDefault="0091533C" w:rsidP="00725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BB5E5" w14:textId="77777777" w:rsidR="00725E6C" w:rsidRDefault="00725E6C" w:rsidP="00725E6C">
    <w:pPr>
      <w:pStyle w:val="Zpat"/>
      <w:jc w:val="right"/>
    </w:pPr>
    <w:r>
      <w:rPr>
        <w:noProof/>
        <w:color w:val="000000"/>
        <w:lang w:eastAsia="cs-CZ"/>
      </w:rPr>
      <w:drawing>
        <wp:inline distT="0" distB="0" distL="0" distR="0" wp14:anchorId="7FE3917B" wp14:editId="585107BB">
          <wp:extent cx="752671" cy="323850"/>
          <wp:effectExtent l="0" t="0" r="9525" b="0"/>
          <wp:docPr id="28" name="Obráze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UR_logo_RGB_black (1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300" cy="3409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707A1" w14:textId="77777777" w:rsidR="0091533C" w:rsidRDefault="0091533C" w:rsidP="00725E6C">
      <w:pPr>
        <w:spacing w:after="0" w:line="240" w:lineRule="auto"/>
      </w:pPr>
      <w:r>
        <w:separator/>
      </w:r>
    </w:p>
  </w:footnote>
  <w:footnote w:type="continuationSeparator" w:id="0">
    <w:p w14:paraId="2B68F666" w14:textId="77777777" w:rsidR="0091533C" w:rsidRDefault="0091533C" w:rsidP="00725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E4B17" w14:textId="77777777" w:rsidR="00725E6C" w:rsidRDefault="00725E6C">
    <w:pPr>
      <w:pStyle w:val="Zhlav"/>
    </w:pPr>
    <w:r>
      <w:rPr>
        <w:noProof/>
        <w:color w:val="000000"/>
        <w:lang w:eastAsia="cs-CZ"/>
      </w:rPr>
      <w:drawing>
        <wp:inline distT="0" distB="0" distL="0" distR="0" wp14:anchorId="18DBFF16" wp14:editId="4AD59C8C">
          <wp:extent cx="5760720" cy="659130"/>
          <wp:effectExtent l="0" t="0" r="0" b="7620"/>
          <wp:docPr id="27" name="Obráze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 cb cel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9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CDB62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F64A284"/>
    <w:multiLevelType w:val="hybridMultilevel"/>
    <w:tmpl w:val="FFFFFFFF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3EFEDC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28E1961"/>
    <w:multiLevelType w:val="hybridMultilevel"/>
    <w:tmpl w:val="FFFFFFFF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A58F47F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281809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B71E257F"/>
    <w:multiLevelType w:val="hybridMultilevel"/>
    <w:tmpl w:val="66B0D80A"/>
    <w:lvl w:ilvl="0" w:tplc="040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BC83533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0023F80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DD80AA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22EADC1"/>
    <w:multiLevelType w:val="hybridMultilevel"/>
    <w:tmpl w:val="872418A2"/>
    <w:lvl w:ilvl="0" w:tplc="040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E076D6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35A0AA0"/>
    <w:multiLevelType w:val="hybridMultilevel"/>
    <w:tmpl w:val="E4180018"/>
    <w:lvl w:ilvl="0" w:tplc="040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CB031FB"/>
    <w:multiLevelType w:val="hybridMultilevel"/>
    <w:tmpl w:val="2B8C2042"/>
    <w:lvl w:ilvl="0" w:tplc="040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CCBAF68"/>
    <w:multiLevelType w:val="hybridMultilevel"/>
    <w:tmpl w:val="BFF8265C"/>
    <w:lvl w:ilvl="0" w:tplc="040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1E16D26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1EA14894"/>
    <w:multiLevelType w:val="hybridMultilevel"/>
    <w:tmpl w:val="35F210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8E5382"/>
    <w:multiLevelType w:val="hybridMultilevel"/>
    <w:tmpl w:val="1BE461AE"/>
    <w:lvl w:ilvl="0" w:tplc="FFFFFFFF">
      <w:start w:val="1"/>
      <w:numFmt w:val="decimal"/>
      <w:lvlText w:val="%1"/>
      <w:lvlJc w:val="left"/>
    </w:lvl>
    <w:lvl w:ilvl="1" w:tplc="04050017">
      <w:start w:val="1"/>
      <w:numFmt w:val="lowerLetter"/>
      <w:lvlText w:val="%2)"/>
      <w:lvlJc w:val="left"/>
      <w:pPr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4FC6854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297C4425"/>
    <w:multiLevelType w:val="hybridMultilevel"/>
    <w:tmpl w:val="40AC9A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956FD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9A5774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B523EC8"/>
    <w:multiLevelType w:val="hybridMultilevel"/>
    <w:tmpl w:val="FFFFFFFF"/>
    <w:lvl w:ilvl="0" w:tplc="FFFFFFFF">
      <w:start w:val="1"/>
      <w:numFmt w:val="lowerLetter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1188986"/>
    <w:multiLevelType w:val="hybridMultilevel"/>
    <w:tmpl w:val="FFFFFFFF"/>
    <w:lvl w:ilvl="0" w:tplc="FFFFFFFF">
      <w:start w:val="1"/>
      <w:numFmt w:val="low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23F26BC"/>
    <w:multiLevelType w:val="hybridMultilevel"/>
    <w:tmpl w:val="2B8C2042"/>
    <w:lvl w:ilvl="0" w:tplc="FFFFFFFF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8FDFB14"/>
    <w:multiLevelType w:val="hybridMultilevel"/>
    <w:tmpl w:val="E6700550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04050017">
      <w:start w:val="1"/>
      <w:numFmt w:val="lowerLetter"/>
      <w:lvlText w:val="%3)"/>
      <w:lvlJc w:val="left"/>
      <w:pPr>
        <w:ind w:left="3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E5D6EA6"/>
    <w:multiLevelType w:val="hybridMultilevel"/>
    <w:tmpl w:val="A792F53C"/>
    <w:lvl w:ilvl="0" w:tplc="040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596FB9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A19053C"/>
    <w:multiLevelType w:val="hybridMultilevel"/>
    <w:tmpl w:val="2B8C2042"/>
    <w:lvl w:ilvl="0" w:tplc="FFFFFFFF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341644D"/>
    <w:multiLevelType w:val="hybridMultilevel"/>
    <w:tmpl w:val="09AEC666"/>
    <w:lvl w:ilvl="0" w:tplc="040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35FE4F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614267B"/>
    <w:multiLevelType w:val="hybridMultilevel"/>
    <w:tmpl w:val="945CF0E8"/>
    <w:lvl w:ilvl="0" w:tplc="FFFFFFFF">
      <w:start w:val="1"/>
      <w:numFmt w:val="ideographDigit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C04793C"/>
    <w:multiLevelType w:val="hybridMultilevel"/>
    <w:tmpl w:val="B22E3408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04050017">
      <w:start w:val="1"/>
      <w:numFmt w:val="lowerLetter"/>
      <w:lvlText w:val="%3)"/>
      <w:lvlJc w:val="left"/>
      <w:pPr>
        <w:ind w:left="3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CF8162B"/>
    <w:multiLevelType w:val="hybridMultilevel"/>
    <w:tmpl w:val="35F8C3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8"/>
  </w:num>
  <w:num w:numId="4">
    <w:abstractNumId w:val="4"/>
  </w:num>
  <w:num w:numId="5">
    <w:abstractNumId w:val="10"/>
  </w:num>
  <w:num w:numId="6">
    <w:abstractNumId w:val="6"/>
  </w:num>
  <w:num w:numId="7">
    <w:abstractNumId w:val="5"/>
  </w:num>
  <w:num w:numId="8">
    <w:abstractNumId w:val="14"/>
  </w:num>
  <w:num w:numId="9">
    <w:abstractNumId w:val="11"/>
  </w:num>
  <w:num w:numId="10">
    <w:abstractNumId w:val="15"/>
  </w:num>
  <w:num w:numId="11">
    <w:abstractNumId w:val="27"/>
  </w:num>
  <w:num w:numId="12">
    <w:abstractNumId w:val="3"/>
  </w:num>
  <w:num w:numId="13">
    <w:abstractNumId w:val="1"/>
  </w:num>
  <w:num w:numId="14">
    <w:abstractNumId w:val="23"/>
  </w:num>
  <w:num w:numId="15">
    <w:abstractNumId w:val="13"/>
  </w:num>
  <w:num w:numId="16">
    <w:abstractNumId w:val="0"/>
  </w:num>
  <w:num w:numId="17">
    <w:abstractNumId w:val="7"/>
  </w:num>
  <w:num w:numId="18">
    <w:abstractNumId w:val="21"/>
  </w:num>
  <w:num w:numId="19">
    <w:abstractNumId w:val="22"/>
  </w:num>
  <w:num w:numId="20">
    <w:abstractNumId w:val="20"/>
  </w:num>
  <w:num w:numId="21">
    <w:abstractNumId w:val="9"/>
  </w:num>
  <w:num w:numId="22">
    <w:abstractNumId w:val="17"/>
  </w:num>
  <w:num w:numId="23">
    <w:abstractNumId w:val="18"/>
  </w:num>
  <w:num w:numId="24">
    <w:abstractNumId w:val="26"/>
  </w:num>
  <w:num w:numId="25">
    <w:abstractNumId w:val="16"/>
  </w:num>
  <w:num w:numId="26">
    <w:abstractNumId w:val="12"/>
  </w:num>
  <w:num w:numId="27">
    <w:abstractNumId w:val="28"/>
  </w:num>
  <w:num w:numId="28">
    <w:abstractNumId w:val="24"/>
  </w:num>
  <w:num w:numId="29">
    <w:abstractNumId w:val="31"/>
  </w:num>
  <w:num w:numId="30">
    <w:abstractNumId w:val="25"/>
  </w:num>
  <w:num w:numId="31">
    <w:abstractNumId w:val="30"/>
  </w:num>
  <w:num w:numId="32">
    <w:abstractNumId w:val="32"/>
  </w:num>
  <w:num w:numId="33">
    <w:abstractNumId w:val="29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E6C"/>
    <w:rsid w:val="00006C63"/>
    <w:rsid w:val="00067596"/>
    <w:rsid w:val="00071E21"/>
    <w:rsid w:val="000C214E"/>
    <w:rsid w:val="000C6E0C"/>
    <w:rsid w:val="000D46C0"/>
    <w:rsid w:val="001227A8"/>
    <w:rsid w:val="001B3ABA"/>
    <w:rsid w:val="002A1465"/>
    <w:rsid w:val="00315070"/>
    <w:rsid w:val="0033416F"/>
    <w:rsid w:val="004355FC"/>
    <w:rsid w:val="00456D00"/>
    <w:rsid w:val="00482F01"/>
    <w:rsid w:val="004B3074"/>
    <w:rsid w:val="004C0E52"/>
    <w:rsid w:val="005A55B6"/>
    <w:rsid w:val="00607E2A"/>
    <w:rsid w:val="0064720A"/>
    <w:rsid w:val="00702E0D"/>
    <w:rsid w:val="00705BF7"/>
    <w:rsid w:val="00725E6C"/>
    <w:rsid w:val="007327D7"/>
    <w:rsid w:val="0074162E"/>
    <w:rsid w:val="00762613"/>
    <w:rsid w:val="00765734"/>
    <w:rsid w:val="008B16C0"/>
    <w:rsid w:val="008D72E1"/>
    <w:rsid w:val="0091533C"/>
    <w:rsid w:val="0092321C"/>
    <w:rsid w:val="00933E76"/>
    <w:rsid w:val="009A45F8"/>
    <w:rsid w:val="00A15F97"/>
    <w:rsid w:val="00A27191"/>
    <w:rsid w:val="00A42F1F"/>
    <w:rsid w:val="00AA0CDB"/>
    <w:rsid w:val="00AB009E"/>
    <w:rsid w:val="00AE550A"/>
    <w:rsid w:val="00B145F0"/>
    <w:rsid w:val="00BB30ED"/>
    <w:rsid w:val="00C021F4"/>
    <w:rsid w:val="00CA3156"/>
    <w:rsid w:val="00E1624E"/>
    <w:rsid w:val="00E20544"/>
    <w:rsid w:val="00E20F1C"/>
    <w:rsid w:val="00ED2818"/>
    <w:rsid w:val="00EF0996"/>
    <w:rsid w:val="00F00AC4"/>
    <w:rsid w:val="00F47647"/>
    <w:rsid w:val="00F51DEE"/>
    <w:rsid w:val="00F8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F8441"/>
  <w15:chartTrackingRefBased/>
  <w15:docId w15:val="{0D4161D5-4368-4A34-A017-7586CBB49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476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5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5E6C"/>
  </w:style>
  <w:style w:type="paragraph" w:styleId="Zpat">
    <w:name w:val="footer"/>
    <w:basedOn w:val="Normln"/>
    <w:link w:val="ZpatChar"/>
    <w:uiPriority w:val="99"/>
    <w:unhideWhenUsed/>
    <w:rsid w:val="00725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5E6C"/>
  </w:style>
  <w:style w:type="character" w:styleId="Odkaznakoment">
    <w:name w:val="annotation reference"/>
    <w:basedOn w:val="Standardnpsmoodstavce"/>
    <w:uiPriority w:val="99"/>
    <w:semiHidden/>
    <w:unhideWhenUsed/>
    <w:rsid w:val="00AE550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50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50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5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50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50A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47647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476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unhideWhenUsed/>
    <w:rsid w:val="00F4764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47647"/>
    <w:rPr>
      <w:color w:val="605E5C"/>
      <w:shd w:val="clear" w:color="auto" w:fill="E1DFDD"/>
    </w:rPr>
  </w:style>
  <w:style w:type="paragraph" w:styleId="Odstavecseseznamem">
    <w:name w:val="List Paragraph"/>
    <w:basedOn w:val="Normln"/>
    <w:link w:val="OdstavecseseznamemChar"/>
    <w:uiPriority w:val="34"/>
    <w:qFormat/>
    <w:rsid w:val="00067596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locked/>
    <w:rsid w:val="00741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3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pst.cz/dokument/299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2441</Words>
  <Characters>14406</Characters>
  <Application>Microsoft Office Word</Application>
  <DocSecurity>4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Vendula Poslední</dc:creator>
  <cp:keywords/>
  <dc:description/>
  <cp:lastModifiedBy>Zbyněk Tichý</cp:lastModifiedBy>
  <cp:revision>2</cp:revision>
  <dcterms:created xsi:type="dcterms:W3CDTF">2025-06-17T08:47:00Z</dcterms:created>
  <dcterms:modified xsi:type="dcterms:W3CDTF">2025-06-17T08:47:00Z</dcterms:modified>
</cp:coreProperties>
</file>