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BC" w:rsidRDefault="004F43BC" w:rsidP="004F43B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stavební práce hrazené z prostředků OP JAK platí: </w:t>
      </w:r>
    </w:p>
    <w:p w:rsidR="004F43BC" w:rsidRDefault="004F43BC" w:rsidP="004F43BC">
      <w:pPr>
        <w:pStyle w:val="Default"/>
        <w:numPr>
          <w:ilvl w:val="0"/>
          <w:numId w:val="1"/>
        </w:numPr>
        <w:spacing w:after="87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>
        <w:rPr>
          <w:b/>
          <w:bCs/>
          <w:sz w:val="22"/>
          <w:szCs w:val="22"/>
        </w:rPr>
        <w:t xml:space="preserve">stavebním odpadem včetně použitých obalů </w:t>
      </w:r>
      <w:r>
        <w:rPr>
          <w:sz w:val="22"/>
          <w:szCs w:val="22"/>
        </w:rPr>
        <w:t xml:space="preserve">je nutné nakládat dle hierarchie odpadového hospodářství zejména ve smyslu zákona o odpadech a přílohy č. 24 k vyhlášce č. 273/2021 Sb., o podrobnostech nakládání s odpady, v platném znění. Prioritou je předcházení vzniku odpadu. Jestliže nelze vzniku odpadu předejít, pak musí dojít k jeho přípravě k opětovnému použití – recyklaci, a to v úrovni nejméně 70 % (hmotnostních) stavebního a demoličního odpadu neklasifikovaného jako nebezpečný; </w:t>
      </w:r>
    </w:p>
    <w:p w:rsidR="004F43BC" w:rsidRDefault="004F43BC" w:rsidP="004F43BC">
      <w:pPr>
        <w:pStyle w:val="Default"/>
        <w:numPr>
          <w:ilvl w:val="0"/>
          <w:numId w:val="1"/>
        </w:numPr>
        <w:spacing w:after="87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Hospodářské subjekty provádějící stavební práce jsou povinné zajistit, aby nejméně 70 % (hmotnostních) stavebních a demoličních materiálů či odpadů neklasifikovaných jako</w:t>
      </w:r>
      <w:r>
        <w:rPr>
          <w:sz w:val="22"/>
          <w:szCs w:val="22"/>
        </w:rPr>
        <w:br/>
        <w:t>nebezpečné (s výjimkou přirozeně se vyskytujících materiálů uvedených v kategorii 17 05 04</w:t>
      </w:r>
      <w:r>
        <w:rPr>
          <w:sz w:val="22"/>
          <w:szCs w:val="22"/>
        </w:rPr>
        <w:br/>
        <w:t>na Evropském seznamu odpadů vytvořeném rozhodnutím 2000/532/ES ze dne 3. května 2000,</w:t>
      </w:r>
      <w:r>
        <w:rPr>
          <w:sz w:val="22"/>
          <w:szCs w:val="22"/>
        </w:rPr>
        <w:br/>
        <w:t>kterým se nahrazuje rozhodnutí 94/3/ES, kterým se stanoví seznam odpadů podle čl. 1 písm.</w:t>
      </w:r>
      <w:r>
        <w:rPr>
          <w:sz w:val="22"/>
          <w:szCs w:val="22"/>
        </w:rPr>
        <w:br/>
        <w:t>a) směrnice Rady 75/442/EHS o odpadech a rozhodnutí Rady 94/904/ES, kterým se stanoví</w:t>
      </w:r>
      <w:r>
        <w:rPr>
          <w:sz w:val="22"/>
          <w:szCs w:val="22"/>
        </w:rPr>
        <w:br/>
        <w:t>seznam nebezpečných odpadů ve smyslu čl. 1 odst. 4 směrnice Rady 91/689/EHS</w:t>
      </w:r>
      <w:r>
        <w:rPr>
          <w:sz w:val="22"/>
          <w:szCs w:val="22"/>
        </w:rPr>
        <w:br/>
        <w:t xml:space="preserve">o nebezpečných odpadech (oznámeno pod číslem </w:t>
      </w:r>
      <w:proofErr w:type="gramStart"/>
      <w:r>
        <w:rPr>
          <w:sz w:val="22"/>
          <w:szCs w:val="22"/>
        </w:rPr>
        <w:t>dokumentu K(2000</w:t>
      </w:r>
      <w:proofErr w:type="gramEnd"/>
      <w:r>
        <w:rPr>
          <w:sz w:val="22"/>
          <w:szCs w:val="22"/>
        </w:rPr>
        <w:t>) 1147)) vzniklého</w:t>
      </w:r>
      <w:r>
        <w:rPr>
          <w:sz w:val="22"/>
          <w:szCs w:val="22"/>
        </w:rPr>
        <w:br/>
        <w:t>na staveništi bude připraveno k opětovnému použití, recyklaci a k jiným druhům</w:t>
      </w:r>
      <w:r>
        <w:rPr>
          <w:sz w:val="22"/>
          <w:szCs w:val="22"/>
        </w:rPr>
        <w:br/>
        <w:t>materiálového využití, včetně zásypů, při nichž jsou jiné materiály nahrazeny odpadem,</w:t>
      </w:r>
      <w:r>
        <w:rPr>
          <w:sz w:val="22"/>
          <w:szCs w:val="22"/>
        </w:rPr>
        <w:br/>
        <w:t xml:space="preserve">v souladu s hierarchií způsobů nakládání s odpady a protokolem EU pro nakládání se stavebním a demoličním odpadem; </w:t>
      </w:r>
    </w:p>
    <w:p w:rsidR="004F43BC" w:rsidRDefault="004F43BC" w:rsidP="004F43BC">
      <w:pPr>
        <w:pStyle w:val="Default"/>
        <w:numPr>
          <w:ilvl w:val="0"/>
          <w:numId w:val="1"/>
        </w:numPr>
        <w:spacing w:after="87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Podmínka platí pro všechny stavební práce – výstavbu, změny dokončených staveb, případně</w:t>
      </w:r>
      <w:r>
        <w:rPr>
          <w:sz w:val="22"/>
          <w:szCs w:val="22"/>
        </w:rPr>
        <w:br/>
        <w:t xml:space="preserve">též údržbu dokončených staveb; </w:t>
      </w:r>
    </w:p>
    <w:p w:rsidR="004F43BC" w:rsidRDefault="004F43BC" w:rsidP="004F43BC">
      <w:pPr>
        <w:pStyle w:val="Default"/>
        <w:numPr>
          <w:ilvl w:val="0"/>
          <w:numId w:val="1"/>
        </w:numPr>
        <w:spacing w:after="87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Pro plnění podmínky významně nepoškozovat životní prostředí není nutné splnit definici</w:t>
      </w:r>
      <w:r>
        <w:rPr>
          <w:sz w:val="22"/>
          <w:szCs w:val="22"/>
        </w:rPr>
        <w:br/>
        <w:t>odpadu dle zákona o odpadech – započítávají se i další materiály, které jsou ihned využity na</w:t>
      </w:r>
      <w:r>
        <w:rPr>
          <w:sz w:val="22"/>
          <w:szCs w:val="22"/>
        </w:rPr>
        <w:br/>
        <w:t>staveništi a které se formálně nestanou odpadem dle českého zákona. Doporučuje se nicméně,</w:t>
      </w:r>
      <w:r>
        <w:rPr>
          <w:sz w:val="22"/>
          <w:szCs w:val="22"/>
        </w:rPr>
        <w:br/>
        <w:t>aby realizátor opatření, kdy demoliční materiál znovu</w:t>
      </w:r>
      <w:r w:rsidR="001440C9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užívá v rámci své činnosti, měl povolení</w:t>
      </w:r>
      <w:r>
        <w:rPr>
          <w:sz w:val="22"/>
          <w:szCs w:val="22"/>
        </w:rPr>
        <w:br/>
        <w:t>nakládání s odpadem;</w:t>
      </w:r>
    </w:p>
    <w:p w:rsidR="004F43BC" w:rsidRPr="004F43BC" w:rsidRDefault="004F43BC" w:rsidP="004F43BC">
      <w:pPr>
        <w:pStyle w:val="Default"/>
        <w:numPr>
          <w:ilvl w:val="0"/>
          <w:numId w:val="1"/>
        </w:numPr>
        <w:spacing w:after="87" w:line="276" w:lineRule="auto"/>
        <w:ind w:left="426"/>
        <w:jc w:val="both"/>
        <w:rPr>
          <w:sz w:val="22"/>
          <w:szCs w:val="22"/>
        </w:rPr>
      </w:pPr>
      <w:r w:rsidRPr="004F43BC">
        <w:rPr>
          <w:sz w:val="22"/>
          <w:szCs w:val="22"/>
        </w:rPr>
        <w:t>Skládkování včetně technického zajištění skládky je vyloučeno a nelze jej považovat za využití</w:t>
      </w:r>
      <w:r>
        <w:rPr>
          <w:sz w:val="22"/>
          <w:szCs w:val="22"/>
        </w:rPr>
        <w:t>,</w:t>
      </w:r>
      <w:r>
        <w:rPr>
          <w:sz w:val="22"/>
          <w:szCs w:val="22"/>
        </w:rPr>
        <w:br/>
      </w:r>
      <w:r w:rsidRPr="004F43BC">
        <w:rPr>
          <w:sz w:val="22"/>
          <w:szCs w:val="22"/>
        </w:rPr>
        <w:t>jedná se vždy o odstranění odpadu. Skládkování je explicitně vyloučen dle čl. 17 nařízení</w:t>
      </w:r>
      <w:r>
        <w:rPr>
          <w:sz w:val="22"/>
          <w:szCs w:val="22"/>
        </w:rPr>
        <w:br/>
      </w:r>
      <w:r w:rsidRPr="004F43BC">
        <w:rPr>
          <w:sz w:val="22"/>
          <w:szCs w:val="22"/>
        </w:rPr>
        <w:t>852/2020, na který se legislativa EU fondů z pohledu zásady DNSH</w:t>
      </w:r>
      <w:r>
        <w:rPr>
          <w:sz w:val="14"/>
          <w:szCs w:val="14"/>
        </w:rPr>
        <w:t xml:space="preserve"> </w:t>
      </w:r>
      <w:r w:rsidRPr="004F43BC">
        <w:rPr>
          <w:sz w:val="22"/>
          <w:szCs w:val="22"/>
        </w:rPr>
        <w:t>odkazuje.</w:t>
      </w:r>
      <w:r w:rsidRPr="004F43BC">
        <w:rPr>
          <w:sz w:val="14"/>
          <w:szCs w:val="14"/>
        </w:rPr>
        <w:t xml:space="preserve"> </w:t>
      </w:r>
    </w:p>
    <w:p w:rsidR="004F43BC" w:rsidRDefault="004F43BC" w:rsidP="004F43BC">
      <w:pPr>
        <w:pStyle w:val="Default"/>
        <w:spacing w:line="276" w:lineRule="auto"/>
        <w:jc w:val="both"/>
        <w:rPr>
          <w:sz w:val="14"/>
          <w:szCs w:val="14"/>
        </w:rPr>
      </w:pPr>
    </w:p>
    <w:p w:rsidR="004F43BC" w:rsidRDefault="004F43BC" w:rsidP="004F43B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Podrobné informace o vhodném postupu viz dokumentace: </w:t>
      </w:r>
    </w:p>
    <w:p w:rsidR="004F43BC" w:rsidRDefault="004F43BC" w:rsidP="004F43BC">
      <w:pPr>
        <w:pStyle w:val="Default"/>
        <w:numPr>
          <w:ilvl w:val="0"/>
          <w:numId w:val="2"/>
        </w:numPr>
        <w:spacing w:after="90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Metodický návod Ministerstva životního prostředí: </w:t>
      </w:r>
      <w:r>
        <w:rPr>
          <w:color w:val="0000FF"/>
          <w:sz w:val="22"/>
          <w:szCs w:val="22"/>
        </w:rPr>
        <w:t>https://www.mzp.cz/cz/stavebni_demolicni_odpady</w:t>
      </w:r>
      <w:r>
        <w:rPr>
          <w:sz w:val="22"/>
          <w:szCs w:val="22"/>
        </w:rPr>
        <w:t xml:space="preserve">; </w:t>
      </w:r>
    </w:p>
    <w:p w:rsidR="004F43BC" w:rsidRDefault="004F43BC" w:rsidP="004F43BC">
      <w:pPr>
        <w:pStyle w:val="Default"/>
        <w:numPr>
          <w:ilvl w:val="0"/>
          <w:numId w:val="2"/>
        </w:numPr>
        <w:spacing w:after="90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Protokol EU o nakládání se stavebními a demoličními odpady:</w:t>
      </w:r>
      <w:r>
        <w:rPr>
          <w:sz w:val="22"/>
          <w:szCs w:val="22"/>
        </w:rPr>
        <w:br/>
      </w:r>
      <w:r>
        <w:rPr>
          <w:color w:val="0000FF"/>
          <w:sz w:val="22"/>
          <w:szCs w:val="22"/>
        </w:rPr>
        <w:t>https://www.mpo.cz/cz/stavebnictvi-a-suroviny/strategicke-dokumenty-pro-udrzitelne-stavebnictvi/protokol-eu-o-nakladani-se-stavebnimi-a-demolicnimi-odpady--241557/</w:t>
      </w:r>
      <w:r>
        <w:rPr>
          <w:sz w:val="22"/>
          <w:szCs w:val="22"/>
        </w:rPr>
        <w:t xml:space="preserve">; </w:t>
      </w:r>
    </w:p>
    <w:p w:rsidR="004F43BC" w:rsidRDefault="004F43BC" w:rsidP="004F43BC">
      <w:pPr>
        <w:pStyle w:val="Default"/>
        <w:numPr>
          <w:ilvl w:val="0"/>
          <w:numId w:val="2"/>
        </w:numPr>
        <w:spacing w:after="90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mezinárodní standardy ISO 20887; </w:t>
      </w:r>
    </w:p>
    <w:p w:rsidR="004F43BC" w:rsidRDefault="004F43BC" w:rsidP="004F43BC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Základní přehled o druhotných surovinách a recyklovaných výrobcích: </w:t>
      </w:r>
      <w:r>
        <w:rPr>
          <w:color w:val="0000FF"/>
          <w:sz w:val="22"/>
          <w:szCs w:val="22"/>
        </w:rPr>
        <w:t>http://www.recyklujmestavby.cz/</w:t>
      </w:r>
      <w:r>
        <w:rPr>
          <w:sz w:val="22"/>
          <w:szCs w:val="22"/>
        </w:rPr>
        <w:t xml:space="preserve">. </w:t>
      </w:r>
    </w:p>
    <w:p w:rsidR="00943819" w:rsidRDefault="004F43BC">
      <w:r w:rsidRPr="004F43BC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102687</wp:posOffset>
            </wp:positionH>
            <wp:positionV relativeFrom="paragraph">
              <wp:posOffset>2215718</wp:posOffset>
            </wp:positionV>
            <wp:extent cx="6080125" cy="819785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12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3819" w:rsidSect="00BD639A">
      <w:pgSz w:w="11906" w:h="17338"/>
      <w:pgMar w:top="1237" w:right="1084" w:bottom="772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432AC5"/>
    <w:multiLevelType w:val="hybridMultilevel"/>
    <w:tmpl w:val="1B9D36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CC4AE8B"/>
    <w:multiLevelType w:val="hybridMultilevel"/>
    <w:tmpl w:val="A7D607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BC"/>
    <w:rsid w:val="001440C9"/>
    <w:rsid w:val="004F43BC"/>
    <w:rsid w:val="0094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5B5C"/>
  <w15:chartTrackingRefBased/>
  <w15:docId w15:val="{857B0C18-9808-4E78-B525-7F24C7D7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43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SimcisinovaD</dc:creator>
  <cp:keywords/>
  <dc:description/>
  <cp:lastModifiedBy>SimcisinovaD</cp:lastModifiedBy>
  <cp:revision>2</cp:revision>
  <dcterms:created xsi:type="dcterms:W3CDTF">2025-05-16T08:47:00Z</dcterms:created>
  <dcterms:modified xsi:type="dcterms:W3CDTF">2025-05-16T12:02:00Z</dcterms:modified>
</cp:coreProperties>
</file>